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D4E" w:rsidRPr="00BA76F4" w:rsidRDefault="00DA0D4E" w:rsidP="00332058">
      <w:pPr>
        <w:tabs>
          <w:tab w:val="left" w:pos="8460"/>
        </w:tabs>
        <w:adjustRightInd w:val="0"/>
        <w:snapToGrid w:val="0"/>
        <w:spacing w:after="120" w:line="240" w:lineRule="auto"/>
        <w:ind w:firstLineChars="0" w:firstLine="0"/>
        <w:jc w:val="center"/>
        <w:textAlignment w:val="baseline"/>
        <w:rPr>
          <w:rFonts w:eastAsia="新細明體"/>
          <w:b/>
          <w:color w:val="000000"/>
          <w:kern w:val="0"/>
          <w:szCs w:val="28"/>
        </w:rPr>
      </w:pPr>
      <w:proofErr w:type="gramStart"/>
      <w:r w:rsidRPr="00BA76F4">
        <w:rPr>
          <w:rFonts w:eastAsia="新細明體" w:hint="eastAsia"/>
          <w:b/>
          <w:color w:val="000000"/>
          <w:kern w:val="0"/>
          <w:szCs w:val="28"/>
        </w:rPr>
        <w:t>鋰鐵電瓶</w:t>
      </w:r>
      <w:proofErr w:type="gramEnd"/>
      <w:r w:rsidRPr="00BA76F4">
        <w:rPr>
          <w:rFonts w:eastAsia="新細明體" w:hint="eastAsia"/>
          <w:b/>
          <w:color w:val="000000"/>
          <w:kern w:val="0"/>
          <w:szCs w:val="28"/>
        </w:rPr>
        <w:t>對汽油引擎電系性能影響之研究</w:t>
      </w:r>
    </w:p>
    <w:p w:rsidR="00DA0D4E" w:rsidRPr="00BA76F4" w:rsidRDefault="00DA0D4E" w:rsidP="00332058">
      <w:pPr>
        <w:adjustRightInd w:val="0"/>
        <w:snapToGrid w:val="0"/>
        <w:spacing w:line="240" w:lineRule="auto"/>
        <w:ind w:firstLineChars="0" w:firstLine="0"/>
        <w:jc w:val="center"/>
        <w:textAlignment w:val="baseline"/>
        <w:rPr>
          <w:rFonts w:eastAsia="新細明體"/>
          <w:color w:val="000000"/>
          <w:kern w:val="0"/>
          <w:sz w:val="24"/>
          <w:szCs w:val="24"/>
          <w:vertAlign w:val="superscript"/>
        </w:rPr>
      </w:pPr>
      <w:proofErr w:type="gramStart"/>
      <w:r w:rsidRPr="00BA76F4">
        <w:rPr>
          <w:rFonts w:eastAsia="新細明體" w:hint="eastAsia"/>
          <w:color w:val="000000"/>
          <w:kern w:val="0"/>
          <w:sz w:val="24"/>
          <w:szCs w:val="24"/>
        </w:rPr>
        <w:t>賴柔雨</w:t>
      </w:r>
      <w:proofErr w:type="gramEnd"/>
      <w:r w:rsidRPr="00BA76F4">
        <w:rPr>
          <w:rFonts w:eastAsia="新細明體"/>
          <w:color w:val="000000"/>
          <w:kern w:val="0"/>
          <w:sz w:val="24"/>
          <w:szCs w:val="24"/>
          <w:vertAlign w:val="superscript"/>
        </w:rPr>
        <w:t>1</w:t>
      </w:r>
      <w:r>
        <w:rPr>
          <w:rFonts w:eastAsia="新細明體"/>
          <w:color w:val="000000"/>
          <w:kern w:val="0"/>
          <w:sz w:val="24"/>
          <w:szCs w:val="24"/>
          <w:vertAlign w:val="superscript"/>
        </w:rPr>
        <w:t>*</w:t>
      </w:r>
      <w:r w:rsidRPr="00BA76F4">
        <w:rPr>
          <w:rFonts w:eastAsia="新細明體" w:hint="eastAsia"/>
          <w:color w:val="000000"/>
          <w:kern w:val="0"/>
          <w:sz w:val="24"/>
          <w:szCs w:val="24"/>
        </w:rPr>
        <w:t>、</w:t>
      </w:r>
      <w:proofErr w:type="gramStart"/>
      <w:r w:rsidRPr="00BA76F4">
        <w:rPr>
          <w:rFonts w:eastAsia="新細明體" w:hint="eastAsia"/>
          <w:color w:val="000000"/>
          <w:kern w:val="0"/>
          <w:sz w:val="24"/>
          <w:szCs w:val="24"/>
        </w:rPr>
        <w:t>林育存</w:t>
      </w:r>
      <w:proofErr w:type="gramEnd"/>
      <w:r w:rsidRPr="00BA76F4">
        <w:rPr>
          <w:rFonts w:eastAsia="新細明體"/>
          <w:color w:val="000000"/>
          <w:kern w:val="0"/>
          <w:sz w:val="24"/>
          <w:szCs w:val="24"/>
          <w:vertAlign w:val="superscript"/>
        </w:rPr>
        <w:t>2</w:t>
      </w:r>
      <w:r w:rsidRPr="00BA76F4">
        <w:rPr>
          <w:rFonts w:eastAsia="新細明體" w:hint="eastAsia"/>
          <w:color w:val="000000"/>
          <w:kern w:val="0"/>
          <w:sz w:val="24"/>
          <w:szCs w:val="24"/>
        </w:rPr>
        <w:t>、楊宗明</w:t>
      </w:r>
      <w:r>
        <w:rPr>
          <w:rFonts w:eastAsia="新細明體"/>
          <w:color w:val="000000"/>
          <w:kern w:val="0"/>
          <w:sz w:val="24"/>
          <w:szCs w:val="24"/>
          <w:vertAlign w:val="superscript"/>
        </w:rPr>
        <w:t>2</w:t>
      </w:r>
    </w:p>
    <w:p w:rsidR="00DA0D4E" w:rsidRPr="00BA76F4" w:rsidRDefault="00DA0D4E" w:rsidP="00332058">
      <w:pPr>
        <w:adjustRightInd w:val="0"/>
        <w:snapToGrid w:val="0"/>
        <w:spacing w:line="240" w:lineRule="auto"/>
        <w:ind w:firstLineChars="0" w:firstLine="0"/>
        <w:jc w:val="center"/>
        <w:textAlignment w:val="baseline"/>
        <w:rPr>
          <w:rFonts w:eastAsia="新細明體"/>
          <w:color w:val="000000"/>
          <w:kern w:val="0"/>
          <w:sz w:val="24"/>
          <w:szCs w:val="24"/>
        </w:rPr>
      </w:pPr>
      <w:r w:rsidRPr="00BA76F4">
        <w:rPr>
          <w:rFonts w:eastAsia="新細明體"/>
          <w:color w:val="000000"/>
          <w:kern w:val="0"/>
          <w:sz w:val="24"/>
          <w:szCs w:val="24"/>
          <w:vertAlign w:val="superscript"/>
        </w:rPr>
        <w:t>1</w:t>
      </w:r>
      <w:r w:rsidRPr="00BA76F4">
        <w:rPr>
          <w:rFonts w:eastAsia="新細明體" w:hint="eastAsia"/>
          <w:color w:val="000000"/>
          <w:kern w:val="0"/>
          <w:sz w:val="24"/>
          <w:szCs w:val="24"/>
        </w:rPr>
        <w:t>南開科技大學</w:t>
      </w:r>
      <w:r w:rsidRPr="00BA76F4">
        <w:rPr>
          <w:rFonts w:eastAsia="新細明體"/>
          <w:color w:val="000000"/>
          <w:kern w:val="0"/>
          <w:sz w:val="24"/>
          <w:szCs w:val="24"/>
        </w:rPr>
        <w:t>(</w:t>
      </w:r>
      <w:r w:rsidRPr="00BA76F4">
        <w:rPr>
          <w:rFonts w:eastAsia="新細明體" w:hint="eastAsia"/>
          <w:color w:val="000000"/>
          <w:kern w:val="0"/>
          <w:sz w:val="24"/>
          <w:szCs w:val="24"/>
        </w:rPr>
        <w:t>南投縣草屯鎮中正路</w:t>
      </w:r>
      <w:r w:rsidRPr="00BA76F4">
        <w:rPr>
          <w:rFonts w:eastAsia="新細明體"/>
          <w:color w:val="000000"/>
          <w:kern w:val="0"/>
          <w:sz w:val="24"/>
          <w:szCs w:val="24"/>
        </w:rPr>
        <w:t>568</w:t>
      </w:r>
      <w:r w:rsidRPr="00BA76F4">
        <w:rPr>
          <w:rFonts w:eastAsia="新細明體" w:hint="eastAsia"/>
          <w:color w:val="000000"/>
          <w:kern w:val="0"/>
          <w:sz w:val="24"/>
          <w:szCs w:val="24"/>
        </w:rPr>
        <w:t>號</w:t>
      </w:r>
      <w:r w:rsidRPr="00BA76F4">
        <w:rPr>
          <w:rFonts w:eastAsia="新細明體"/>
          <w:color w:val="000000"/>
          <w:kern w:val="0"/>
          <w:sz w:val="24"/>
          <w:szCs w:val="24"/>
        </w:rPr>
        <w:t>)</w:t>
      </w:r>
    </w:p>
    <w:p w:rsidR="00DA0D4E" w:rsidRPr="00BA76F4" w:rsidRDefault="00DA0D4E" w:rsidP="00332058">
      <w:pPr>
        <w:adjustRightInd w:val="0"/>
        <w:snapToGrid w:val="0"/>
        <w:spacing w:line="240" w:lineRule="auto"/>
        <w:ind w:firstLineChars="0" w:firstLine="0"/>
        <w:jc w:val="center"/>
        <w:textAlignment w:val="baseline"/>
        <w:rPr>
          <w:rFonts w:eastAsia="新細明體"/>
          <w:color w:val="000000"/>
          <w:kern w:val="0"/>
          <w:sz w:val="24"/>
          <w:szCs w:val="24"/>
        </w:rPr>
      </w:pPr>
      <w:r>
        <w:rPr>
          <w:rFonts w:eastAsia="新細明體"/>
          <w:color w:val="000000"/>
          <w:kern w:val="0"/>
          <w:sz w:val="24"/>
          <w:szCs w:val="24"/>
          <w:vertAlign w:val="superscript"/>
        </w:rPr>
        <w:t>2</w:t>
      </w:r>
      <w:r w:rsidRPr="00DA24CB">
        <w:rPr>
          <w:rFonts w:eastAsia="新細明體" w:hint="eastAsia"/>
          <w:color w:val="000000"/>
          <w:kern w:val="0"/>
          <w:sz w:val="24"/>
          <w:szCs w:val="24"/>
        </w:rPr>
        <w:t>南開科技大學</w:t>
      </w:r>
      <w:r w:rsidRPr="00DA24CB">
        <w:rPr>
          <w:rFonts w:eastAsia="新細明體"/>
          <w:color w:val="000000"/>
          <w:kern w:val="0"/>
          <w:sz w:val="24"/>
          <w:szCs w:val="24"/>
        </w:rPr>
        <w:t>(</w:t>
      </w:r>
      <w:r w:rsidRPr="00DA24CB">
        <w:rPr>
          <w:rFonts w:eastAsia="新細明體" w:hint="eastAsia"/>
          <w:color w:val="000000"/>
          <w:kern w:val="0"/>
          <w:sz w:val="24"/>
          <w:szCs w:val="24"/>
        </w:rPr>
        <w:t>南投縣草屯鎮中正路</w:t>
      </w:r>
      <w:r w:rsidRPr="00DA24CB">
        <w:rPr>
          <w:rFonts w:eastAsia="新細明體"/>
          <w:color w:val="000000"/>
          <w:kern w:val="0"/>
          <w:sz w:val="24"/>
          <w:szCs w:val="24"/>
        </w:rPr>
        <w:t>568</w:t>
      </w:r>
      <w:r w:rsidRPr="00DA24CB">
        <w:rPr>
          <w:rFonts w:eastAsia="新細明體" w:hint="eastAsia"/>
          <w:color w:val="000000"/>
          <w:kern w:val="0"/>
          <w:sz w:val="24"/>
          <w:szCs w:val="24"/>
        </w:rPr>
        <w:t>號</w:t>
      </w:r>
      <w:r w:rsidRPr="00DA24CB">
        <w:rPr>
          <w:rFonts w:eastAsia="新細明體"/>
          <w:color w:val="000000"/>
          <w:kern w:val="0"/>
          <w:sz w:val="24"/>
          <w:szCs w:val="24"/>
        </w:rPr>
        <w:t>)</w:t>
      </w:r>
    </w:p>
    <w:p w:rsidR="00DA0D4E" w:rsidRPr="00BA76F4" w:rsidRDefault="00A13FB1" w:rsidP="00332058">
      <w:pPr>
        <w:adjustRightInd w:val="0"/>
        <w:snapToGrid w:val="0"/>
        <w:spacing w:line="240" w:lineRule="auto"/>
        <w:ind w:firstLineChars="0" w:firstLine="0"/>
        <w:jc w:val="center"/>
        <w:textAlignment w:val="baseline"/>
        <w:rPr>
          <w:rFonts w:eastAsia="新細明體"/>
          <w:color w:val="000000"/>
          <w:kern w:val="0"/>
          <w:sz w:val="24"/>
          <w:szCs w:val="24"/>
        </w:rPr>
      </w:pPr>
      <w:r>
        <w:rPr>
          <w:rFonts w:eastAsia="新細明體" w:hint="eastAsia"/>
          <w:color w:val="000000"/>
          <w:kern w:val="0"/>
          <w:sz w:val="24"/>
          <w:szCs w:val="24"/>
          <w:vertAlign w:val="superscript"/>
        </w:rPr>
        <w:t>2</w:t>
      </w:r>
      <w:r w:rsidR="00DA0D4E" w:rsidRPr="00DA24CB">
        <w:rPr>
          <w:rFonts w:eastAsia="新細明體" w:hint="eastAsia"/>
          <w:color w:val="000000"/>
          <w:kern w:val="0"/>
          <w:sz w:val="24"/>
          <w:szCs w:val="24"/>
        </w:rPr>
        <w:t>南開科技大學</w:t>
      </w:r>
      <w:r w:rsidR="00DA0D4E" w:rsidRPr="00DA24CB">
        <w:rPr>
          <w:rFonts w:eastAsia="新細明體"/>
          <w:color w:val="000000"/>
          <w:kern w:val="0"/>
          <w:sz w:val="24"/>
          <w:szCs w:val="24"/>
        </w:rPr>
        <w:t>(</w:t>
      </w:r>
      <w:r w:rsidR="00DA0D4E" w:rsidRPr="00DA24CB">
        <w:rPr>
          <w:rFonts w:eastAsia="新細明體" w:hint="eastAsia"/>
          <w:color w:val="000000"/>
          <w:kern w:val="0"/>
          <w:sz w:val="24"/>
          <w:szCs w:val="24"/>
        </w:rPr>
        <w:t>南投縣草屯鎮中正路</w:t>
      </w:r>
      <w:r w:rsidR="00DA0D4E" w:rsidRPr="00DA24CB">
        <w:rPr>
          <w:rFonts w:eastAsia="新細明體"/>
          <w:color w:val="000000"/>
          <w:kern w:val="0"/>
          <w:sz w:val="24"/>
          <w:szCs w:val="24"/>
        </w:rPr>
        <w:t>568</w:t>
      </w:r>
      <w:r w:rsidR="00DA0D4E" w:rsidRPr="00DA24CB">
        <w:rPr>
          <w:rFonts w:eastAsia="新細明體" w:hint="eastAsia"/>
          <w:color w:val="000000"/>
          <w:kern w:val="0"/>
          <w:sz w:val="24"/>
          <w:szCs w:val="24"/>
        </w:rPr>
        <w:t>號</w:t>
      </w:r>
      <w:r w:rsidR="00DA0D4E" w:rsidRPr="00DA24CB">
        <w:rPr>
          <w:rFonts w:eastAsia="新細明體"/>
          <w:color w:val="000000"/>
          <w:kern w:val="0"/>
          <w:sz w:val="24"/>
          <w:szCs w:val="24"/>
        </w:rPr>
        <w:t>)</w:t>
      </w:r>
    </w:p>
    <w:p w:rsidR="00DA0D4E" w:rsidRPr="00ED5727" w:rsidRDefault="00ED5727" w:rsidP="00332058">
      <w:pPr>
        <w:autoSpaceDE w:val="0"/>
        <w:autoSpaceDN w:val="0"/>
        <w:adjustRightInd w:val="0"/>
        <w:snapToGrid w:val="0"/>
        <w:spacing w:line="240" w:lineRule="auto"/>
        <w:ind w:firstLine="400"/>
        <w:jc w:val="center"/>
        <w:rPr>
          <w:rFonts w:eastAsia="新細明體"/>
          <w:kern w:val="0"/>
          <w:sz w:val="20"/>
          <w:szCs w:val="20"/>
        </w:rPr>
      </w:pPr>
      <w:r>
        <w:rPr>
          <w:rFonts w:eastAsia="新細明體" w:hint="eastAsia"/>
          <w:kern w:val="0"/>
          <w:sz w:val="20"/>
          <w:szCs w:val="20"/>
          <w:vertAlign w:val="superscript"/>
        </w:rPr>
        <w:t>*</w:t>
      </w:r>
      <w:r>
        <w:rPr>
          <w:rFonts w:eastAsia="新細明體" w:hint="eastAsia"/>
          <w:kern w:val="0"/>
          <w:sz w:val="20"/>
          <w:szCs w:val="20"/>
        </w:rPr>
        <w:t>k</w:t>
      </w:r>
      <w:r w:rsidRPr="00ED5727">
        <w:rPr>
          <w:rFonts w:eastAsia="新細明體" w:hint="eastAsia"/>
          <w:kern w:val="0"/>
          <w:sz w:val="20"/>
          <w:szCs w:val="20"/>
        </w:rPr>
        <w:t>o50701@yahoo.com.tw</w:t>
      </w:r>
    </w:p>
    <w:p w:rsidR="00DA0D4E" w:rsidRPr="00BA76F4" w:rsidRDefault="00DA0D4E" w:rsidP="00332058">
      <w:pPr>
        <w:autoSpaceDE w:val="0"/>
        <w:autoSpaceDN w:val="0"/>
        <w:adjustRightInd w:val="0"/>
        <w:snapToGrid w:val="0"/>
        <w:spacing w:line="240" w:lineRule="auto"/>
        <w:ind w:firstLine="400"/>
        <w:jc w:val="center"/>
        <w:rPr>
          <w:rFonts w:eastAsia="新細明體"/>
          <w:b/>
          <w:kern w:val="0"/>
          <w:sz w:val="20"/>
          <w:szCs w:val="20"/>
        </w:rPr>
      </w:pPr>
      <w:r w:rsidRPr="00BA76F4">
        <w:rPr>
          <w:rFonts w:eastAsia="新細明體" w:hint="eastAsia"/>
          <w:b/>
          <w:kern w:val="0"/>
          <w:sz w:val="20"/>
          <w:szCs w:val="20"/>
        </w:rPr>
        <w:t>摘要</w:t>
      </w:r>
    </w:p>
    <w:p w:rsidR="00DA0D4E" w:rsidRPr="00BA76F4" w:rsidRDefault="00DA0D4E" w:rsidP="00332058">
      <w:pPr>
        <w:autoSpaceDE w:val="0"/>
        <w:autoSpaceDN w:val="0"/>
        <w:adjustRightInd w:val="0"/>
        <w:snapToGrid w:val="0"/>
        <w:spacing w:line="240" w:lineRule="auto"/>
        <w:ind w:firstLine="400"/>
        <w:jc w:val="both"/>
        <w:rPr>
          <w:rFonts w:eastAsia="新細明體"/>
          <w:kern w:val="0"/>
          <w:sz w:val="20"/>
          <w:szCs w:val="20"/>
        </w:rPr>
      </w:pPr>
      <w:r w:rsidRPr="00BA76F4">
        <w:rPr>
          <w:rFonts w:eastAsia="新細明體" w:hint="eastAsia"/>
          <w:kern w:val="0"/>
          <w:sz w:val="20"/>
          <w:szCs w:val="20"/>
        </w:rPr>
        <w:t>本研究主要是將使用於汽油噴射引擎的傳統鉛酸電瓶，更換為起動</w:t>
      </w:r>
      <w:proofErr w:type="gramStart"/>
      <w:r w:rsidRPr="00BA76F4">
        <w:rPr>
          <w:rFonts w:eastAsia="新細明體" w:hint="eastAsia"/>
          <w:kern w:val="0"/>
          <w:sz w:val="20"/>
          <w:szCs w:val="20"/>
        </w:rPr>
        <w:t>型鋰鐵</w:t>
      </w:r>
      <w:proofErr w:type="gramEnd"/>
      <w:r w:rsidRPr="00BA76F4">
        <w:rPr>
          <w:rFonts w:eastAsia="新細明體" w:hint="eastAsia"/>
          <w:kern w:val="0"/>
          <w:sz w:val="20"/>
          <w:szCs w:val="20"/>
        </w:rPr>
        <w:t>電瓶，並在引擎不同運轉與負載型態下進行試驗，研究項目包括引擎電系系統中電瓶起動性能、點火性能與充放電性能等，在控制的實驗條件下，</w:t>
      </w:r>
      <w:proofErr w:type="gramStart"/>
      <w:r w:rsidRPr="00BA76F4">
        <w:rPr>
          <w:rFonts w:eastAsia="新細明體" w:hint="eastAsia"/>
          <w:kern w:val="0"/>
          <w:sz w:val="20"/>
          <w:szCs w:val="20"/>
        </w:rPr>
        <w:t>以鉛酸</w:t>
      </w:r>
      <w:proofErr w:type="gramEnd"/>
      <w:r w:rsidRPr="00BA76F4">
        <w:rPr>
          <w:rFonts w:eastAsia="新細明體" w:hint="eastAsia"/>
          <w:kern w:val="0"/>
          <w:sz w:val="20"/>
          <w:szCs w:val="20"/>
        </w:rPr>
        <w:t>電瓶之性能表現為基礎，</w:t>
      </w:r>
      <w:proofErr w:type="gramStart"/>
      <w:r w:rsidRPr="00BA76F4">
        <w:rPr>
          <w:rFonts w:eastAsia="新細明體" w:hint="eastAsia"/>
          <w:kern w:val="0"/>
          <w:sz w:val="20"/>
          <w:szCs w:val="20"/>
        </w:rPr>
        <w:t>比較鋰鐵電瓶</w:t>
      </w:r>
      <w:proofErr w:type="gramEnd"/>
      <w:r w:rsidRPr="00BA76F4">
        <w:rPr>
          <w:rFonts w:eastAsia="新細明體" w:hint="eastAsia"/>
          <w:kern w:val="0"/>
          <w:sz w:val="20"/>
          <w:szCs w:val="20"/>
        </w:rPr>
        <w:t>在電瓶不</w:t>
      </w:r>
      <w:r>
        <w:rPr>
          <w:rFonts w:eastAsia="新細明體" w:hint="eastAsia"/>
          <w:kern w:val="0"/>
          <w:sz w:val="20"/>
          <w:szCs w:val="20"/>
        </w:rPr>
        <w:t>同負載型態的電壓變化、起動波型及點火波形穩定度之變化，並進而在</w:t>
      </w:r>
      <w:r w:rsidRPr="00BA76F4">
        <w:rPr>
          <w:rFonts w:eastAsia="新細明體" w:hint="eastAsia"/>
          <w:kern w:val="0"/>
          <w:sz w:val="20"/>
          <w:szCs w:val="20"/>
        </w:rPr>
        <w:t>實車</w:t>
      </w:r>
      <w:proofErr w:type="gramStart"/>
      <w:r w:rsidRPr="00BA76F4">
        <w:rPr>
          <w:rFonts w:eastAsia="新細明體" w:hint="eastAsia"/>
          <w:kern w:val="0"/>
          <w:sz w:val="20"/>
          <w:szCs w:val="20"/>
        </w:rPr>
        <w:t>使用鋰鐵電瓶</w:t>
      </w:r>
      <w:proofErr w:type="gramEnd"/>
      <w:r>
        <w:rPr>
          <w:rFonts w:eastAsia="新細明體" w:hint="eastAsia"/>
          <w:kern w:val="0"/>
          <w:sz w:val="20"/>
          <w:szCs w:val="20"/>
        </w:rPr>
        <w:t>並</w:t>
      </w:r>
      <w:r w:rsidRPr="00BA76F4">
        <w:rPr>
          <w:rFonts w:eastAsia="新細明體" w:hint="eastAsia"/>
          <w:kern w:val="0"/>
          <w:sz w:val="20"/>
          <w:szCs w:val="20"/>
        </w:rPr>
        <w:t>對</w:t>
      </w:r>
      <w:r>
        <w:rPr>
          <w:rFonts w:eastAsia="新細明體" w:hint="eastAsia"/>
          <w:kern w:val="0"/>
          <w:sz w:val="20"/>
          <w:szCs w:val="20"/>
        </w:rPr>
        <w:t>電器</w:t>
      </w:r>
      <w:r w:rsidRPr="00BA76F4">
        <w:rPr>
          <w:rFonts w:eastAsia="新細明體" w:hint="eastAsia"/>
          <w:kern w:val="0"/>
          <w:sz w:val="20"/>
          <w:szCs w:val="20"/>
        </w:rPr>
        <w:t>負載</w:t>
      </w:r>
      <w:r>
        <w:rPr>
          <w:rFonts w:eastAsia="新細明體" w:hint="eastAsia"/>
          <w:kern w:val="0"/>
          <w:sz w:val="20"/>
          <w:szCs w:val="20"/>
        </w:rPr>
        <w:t>輸出</w:t>
      </w:r>
      <w:r w:rsidRPr="00BA76F4">
        <w:rPr>
          <w:rFonts w:eastAsia="新細明體" w:hint="eastAsia"/>
          <w:kern w:val="0"/>
          <w:sz w:val="20"/>
          <w:szCs w:val="20"/>
        </w:rPr>
        <w:t>、起動波型與點火波形</w:t>
      </w:r>
      <w:r>
        <w:rPr>
          <w:rFonts w:eastAsia="新細明體" w:hint="eastAsia"/>
          <w:kern w:val="0"/>
          <w:sz w:val="20"/>
          <w:szCs w:val="20"/>
        </w:rPr>
        <w:t>之</w:t>
      </w:r>
      <w:r w:rsidRPr="00BA76F4">
        <w:rPr>
          <w:rFonts w:eastAsia="新細明體" w:hint="eastAsia"/>
          <w:kern w:val="0"/>
          <w:sz w:val="20"/>
          <w:szCs w:val="20"/>
        </w:rPr>
        <w:t>影響進行實驗。研究結果發現</w:t>
      </w:r>
      <w:proofErr w:type="gramStart"/>
      <w:r w:rsidRPr="00BA76F4">
        <w:rPr>
          <w:rFonts w:eastAsia="新細明體" w:hint="eastAsia"/>
          <w:sz w:val="20"/>
          <w:szCs w:val="20"/>
        </w:rPr>
        <w:t>使用鋰鐵電瓶</w:t>
      </w:r>
      <w:proofErr w:type="gramEnd"/>
      <w:r w:rsidRPr="00BA76F4">
        <w:rPr>
          <w:rFonts w:eastAsia="新細明體" w:hint="eastAsia"/>
          <w:sz w:val="20"/>
          <w:szCs w:val="20"/>
        </w:rPr>
        <w:t>之車輛在短暫高電流放電、長期小電流與長期中電流放電的電瓶</w:t>
      </w:r>
      <w:proofErr w:type="gramStart"/>
      <w:r w:rsidRPr="00BA76F4">
        <w:rPr>
          <w:rFonts w:eastAsia="新細明體" w:hint="eastAsia"/>
          <w:sz w:val="20"/>
          <w:szCs w:val="20"/>
        </w:rPr>
        <w:t>充電回充效率</w:t>
      </w:r>
      <w:proofErr w:type="gramEnd"/>
      <w:r w:rsidRPr="00BA76F4">
        <w:rPr>
          <w:rFonts w:eastAsia="新細明體" w:hint="eastAsia"/>
          <w:sz w:val="20"/>
          <w:szCs w:val="20"/>
        </w:rPr>
        <w:t>上</w:t>
      </w:r>
      <w:r>
        <w:rPr>
          <w:rFonts w:eastAsia="新細明體" w:hint="eastAsia"/>
          <w:sz w:val="20"/>
          <w:szCs w:val="20"/>
        </w:rPr>
        <w:t>，</w:t>
      </w:r>
      <w:r w:rsidRPr="00BA76F4">
        <w:rPr>
          <w:rFonts w:eastAsia="新細明體" w:hint="eastAsia"/>
          <w:sz w:val="20"/>
          <w:szCs w:val="20"/>
        </w:rPr>
        <w:t>皆高於使用鉛酸電瓶之車輛</w:t>
      </w:r>
      <w:r>
        <w:rPr>
          <w:rFonts w:eastAsia="新細明體" w:hint="eastAsia"/>
          <w:sz w:val="20"/>
          <w:szCs w:val="20"/>
        </w:rPr>
        <w:t>；</w:t>
      </w:r>
      <w:r w:rsidRPr="00BA76F4">
        <w:rPr>
          <w:rFonts w:eastAsia="新細明體" w:hint="eastAsia"/>
          <w:sz w:val="20"/>
          <w:szCs w:val="20"/>
        </w:rPr>
        <w:t>當車輛回充電壓飽和後仍會有極小且穩定持續的充電電流，長期使用</w:t>
      </w:r>
      <w:proofErr w:type="gramStart"/>
      <w:r w:rsidRPr="00BA76F4">
        <w:rPr>
          <w:rFonts w:eastAsia="新細明體" w:hint="eastAsia"/>
          <w:sz w:val="20"/>
          <w:szCs w:val="20"/>
        </w:rPr>
        <w:t>下鋰鐵</w:t>
      </w:r>
      <w:proofErr w:type="gramEnd"/>
      <w:r w:rsidRPr="00BA76F4">
        <w:rPr>
          <w:rFonts w:eastAsia="新細明體" w:hint="eastAsia"/>
          <w:sz w:val="20"/>
          <w:szCs w:val="20"/>
        </w:rPr>
        <w:t>電瓶確實可降低充電機的負荷；</w:t>
      </w:r>
      <w:proofErr w:type="gramStart"/>
      <w:r w:rsidRPr="00BA76F4">
        <w:rPr>
          <w:rFonts w:eastAsia="新細明體" w:hint="eastAsia"/>
          <w:kern w:val="0"/>
          <w:sz w:val="20"/>
          <w:szCs w:val="20"/>
        </w:rPr>
        <w:t>使用鋰鐵電瓶</w:t>
      </w:r>
      <w:proofErr w:type="gramEnd"/>
      <w:r w:rsidRPr="00BA76F4">
        <w:rPr>
          <w:rFonts w:eastAsia="新細明體" w:hint="eastAsia"/>
          <w:kern w:val="0"/>
          <w:sz w:val="20"/>
          <w:szCs w:val="20"/>
        </w:rPr>
        <w:t>有較長時間的點火火花及平穩的點火電壓，因此在同等條件下引擎燃燒效率會較佳；在起動時間與電壓降的變化上，</w:t>
      </w:r>
      <w:proofErr w:type="gramStart"/>
      <w:r w:rsidRPr="00BA76F4">
        <w:rPr>
          <w:rFonts w:eastAsia="新細明體" w:hint="eastAsia"/>
          <w:kern w:val="0"/>
          <w:sz w:val="20"/>
          <w:szCs w:val="20"/>
        </w:rPr>
        <w:t>使用鋰鐵電瓶</w:t>
      </w:r>
      <w:proofErr w:type="gramEnd"/>
      <w:r w:rsidRPr="00BA76F4">
        <w:rPr>
          <w:rFonts w:eastAsia="新細明體" w:hint="eastAsia"/>
          <w:kern w:val="0"/>
          <w:sz w:val="20"/>
          <w:szCs w:val="20"/>
        </w:rPr>
        <w:t>的引擎則有較佳的起動效率與較小的電壓降變化，在不同測試條件下其最低起動電壓都可以高於標準值，瞬間起動能量高，同時可以延長起動馬達的使用壽命。</w:t>
      </w:r>
    </w:p>
    <w:p w:rsidR="00DA0D4E" w:rsidRPr="00BA76F4" w:rsidRDefault="00DA0D4E" w:rsidP="00332058">
      <w:pPr>
        <w:widowControl/>
        <w:adjustRightInd w:val="0"/>
        <w:snapToGrid w:val="0"/>
        <w:spacing w:line="240" w:lineRule="auto"/>
        <w:ind w:firstLineChars="0" w:firstLine="0"/>
        <w:jc w:val="both"/>
        <w:rPr>
          <w:rFonts w:eastAsia="新細明體"/>
          <w:sz w:val="20"/>
          <w:szCs w:val="20"/>
        </w:rPr>
      </w:pPr>
      <w:r w:rsidRPr="00BA76F4">
        <w:rPr>
          <w:rFonts w:eastAsia="新細明體" w:hint="eastAsia"/>
          <w:sz w:val="20"/>
          <w:szCs w:val="20"/>
        </w:rPr>
        <w:t>關鍵詞：鉛酸電瓶、</w:t>
      </w:r>
      <w:proofErr w:type="gramStart"/>
      <w:r w:rsidRPr="00BA76F4">
        <w:rPr>
          <w:rFonts w:eastAsia="新細明體" w:hint="eastAsia"/>
          <w:sz w:val="20"/>
          <w:szCs w:val="20"/>
        </w:rPr>
        <w:t>鋰鐵電瓶</w:t>
      </w:r>
      <w:proofErr w:type="gramEnd"/>
      <w:r w:rsidRPr="00BA76F4">
        <w:rPr>
          <w:rFonts w:eastAsia="新細明體" w:hint="eastAsia"/>
          <w:sz w:val="20"/>
          <w:szCs w:val="20"/>
        </w:rPr>
        <w:t>、</w:t>
      </w:r>
      <w:proofErr w:type="gramStart"/>
      <w:r w:rsidRPr="00BA76F4">
        <w:rPr>
          <w:rFonts w:eastAsia="新細明體" w:hint="eastAsia"/>
          <w:sz w:val="20"/>
          <w:szCs w:val="20"/>
        </w:rPr>
        <w:t>充電回充效率</w:t>
      </w:r>
      <w:proofErr w:type="gramEnd"/>
    </w:p>
    <w:p w:rsidR="00DA0D4E" w:rsidRPr="00BA76F4" w:rsidRDefault="00DA0D4E" w:rsidP="00332058">
      <w:pPr>
        <w:adjustRightInd w:val="0"/>
        <w:snapToGrid w:val="0"/>
        <w:spacing w:line="240" w:lineRule="auto"/>
        <w:ind w:firstLineChars="0" w:firstLine="0"/>
        <w:jc w:val="center"/>
        <w:textAlignment w:val="baseline"/>
        <w:rPr>
          <w:rFonts w:eastAsia="新細明體"/>
          <w:b/>
          <w:color w:val="000000"/>
          <w:kern w:val="0"/>
          <w:sz w:val="20"/>
          <w:szCs w:val="20"/>
        </w:rPr>
      </w:pPr>
      <w:r w:rsidRPr="00BA76F4">
        <w:rPr>
          <w:rFonts w:eastAsia="新細明體" w:hint="eastAsia"/>
          <w:b/>
          <w:color w:val="000000"/>
          <w:kern w:val="0"/>
          <w:sz w:val="20"/>
          <w:szCs w:val="20"/>
        </w:rPr>
        <w:t>前言</w:t>
      </w:r>
    </w:p>
    <w:p w:rsidR="00DA0D4E" w:rsidRDefault="00DA0D4E" w:rsidP="00332058">
      <w:pPr>
        <w:adjustRightInd w:val="0"/>
        <w:snapToGrid w:val="0"/>
        <w:spacing w:line="240" w:lineRule="auto"/>
        <w:ind w:firstLineChars="0" w:firstLine="0"/>
        <w:jc w:val="both"/>
        <w:rPr>
          <w:rFonts w:eastAsia="新細明體"/>
          <w:sz w:val="20"/>
          <w:szCs w:val="20"/>
        </w:rPr>
      </w:pPr>
      <w:r>
        <w:rPr>
          <w:rFonts w:eastAsia="新細明體" w:hint="eastAsia"/>
          <w:sz w:val="20"/>
          <w:szCs w:val="20"/>
        </w:rPr>
        <w:t>電瓶對於汽車而言，兼具三項功能，首先是未發動前提供各電器負載之動力需求，其次在啟動</w:t>
      </w:r>
      <w:proofErr w:type="gramStart"/>
      <w:r>
        <w:rPr>
          <w:rFonts w:eastAsia="新細明體" w:hint="eastAsia"/>
          <w:sz w:val="20"/>
          <w:szCs w:val="20"/>
        </w:rPr>
        <w:t>引擎搖轉過程</w:t>
      </w:r>
      <w:proofErr w:type="gramEnd"/>
      <w:r>
        <w:rPr>
          <w:rFonts w:eastAsia="新細明體" w:hint="eastAsia"/>
          <w:sz w:val="20"/>
          <w:szCs w:val="20"/>
        </w:rPr>
        <w:t>提供足夠電流</w:t>
      </w:r>
      <w:proofErr w:type="gramStart"/>
      <w:r>
        <w:rPr>
          <w:rFonts w:eastAsia="新細明體" w:hint="eastAsia"/>
          <w:sz w:val="20"/>
          <w:szCs w:val="20"/>
        </w:rPr>
        <w:t>俾</w:t>
      </w:r>
      <w:proofErr w:type="gramEnd"/>
      <w:r>
        <w:rPr>
          <w:rFonts w:eastAsia="新細明體" w:hint="eastAsia"/>
          <w:sz w:val="20"/>
          <w:szCs w:val="20"/>
        </w:rPr>
        <w:t>便引擎發動，最後於引擎發動後作為平衡汽車電路系統之電壓，就汽油引擎而言，在引擎發動後電瓶的供電能力更影響點火系統</w:t>
      </w:r>
      <w:proofErr w:type="gramStart"/>
      <w:r>
        <w:rPr>
          <w:rFonts w:eastAsia="新細明體" w:hint="eastAsia"/>
          <w:sz w:val="20"/>
          <w:szCs w:val="20"/>
        </w:rPr>
        <w:t>之跳火電壓</w:t>
      </w:r>
      <w:proofErr w:type="gramEnd"/>
      <w:r>
        <w:rPr>
          <w:rFonts w:eastAsia="新細明體" w:hint="eastAsia"/>
          <w:sz w:val="20"/>
          <w:szCs w:val="20"/>
        </w:rPr>
        <w:t>間接影響引擎性能甚</w:t>
      </w:r>
      <w:proofErr w:type="gramStart"/>
      <w:r>
        <w:rPr>
          <w:rFonts w:eastAsia="新細明體" w:hint="eastAsia"/>
          <w:sz w:val="20"/>
          <w:szCs w:val="20"/>
        </w:rPr>
        <w:t>鉅</w:t>
      </w:r>
      <w:proofErr w:type="gramEnd"/>
      <w:r>
        <w:rPr>
          <w:rFonts w:eastAsia="新細明體" w:hint="eastAsia"/>
          <w:sz w:val="20"/>
          <w:szCs w:val="20"/>
        </w:rPr>
        <w:t>，因此透過電瓶管理系統（</w:t>
      </w:r>
      <w:r>
        <w:rPr>
          <w:rFonts w:eastAsia="新細明體"/>
          <w:sz w:val="20"/>
          <w:szCs w:val="20"/>
        </w:rPr>
        <w:t>Battery Management System</w:t>
      </w:r>
      <w:r>
        <w:rPr>
          <w:rFonts w:eastAsia="新細明體" w:hint="eastAsia"/>
          <w:sz w:val="20"/>
          <w:szCs w:val="20"/>
        </w:rPr>
        <w:t>）之建立與電瓶材料的改變，確實已大幅提高電瓶對於引擎各項性能之影響。因此為了能測試各種類型之電瓶優缺點，首先對於</w:t>
      </w:r>
      <w:r w:rsidRPr="00BA76F4">
        <w:rPr>
          <w:rFonts w:eastAsia="新細明體" w:hint="eastAsia"/>
          <w:sz w:val="20"/>
          <w:szCs w:val="20"/>
        </w:rPr>
        <w:t>電瓶負載能力標準規範</w:t>
      </w:r>
      <w:r>
        <w:rPr>
          <w:rFonts w:eastAsia="新細明體" w:hint="eastAsia"/>
          <w:sz w:val="20"/>
          <w:szCs w:val="20"/>
        </w:rPr>
        <w:t>進行說明。</w:t>
      </w:r>
    </w:p>
    <w:p w:rsidR="00DA0D4E" w:rsidRPr="00BA76F4" w:rsidRDefault="00DA0D4E" w:rsidP="00332058">
      <w:pPr>
        <w:adjustRightInd w:val="0"/>
        <w:snapToGrid w:val="0"/>
        <w:spacing w:line="240" w:lineRule="auto"/>
        <w:ind w:firstLineChars="0" w:firstLine="0"/>
        <w:jc w:val="both"/>
        <w:rPr>
          <w:rFonts w:eastAsia="新細明體"/>
          <w:sz w:val="20"/>
          <w:szCs w:val="20"/>
        </w:rPr>
      </w:pPr>
      <w:r w:rsidRPr="00BA76F4">
        <w:rPr>
          <w:rFonts w:eastAsia="新細明體" w:hint="eastAsia"/>
          <w:sz w:val="20"/>
          <w:szCs w:val="20"/>
        </w:rPr>
        <w:t>電瓶負載能力標準規範</w:t>
      </w:r>
    </w:p>
    <w:p w:rsidR="00DA0D4E" w:rsidRPr="00332058" w:rsidRDefault="00DA0D4E" w:rsidP="00332058">
      <w:pPr>
        <w:adjustRightInd w:val="0"/>
        <w:snapToGrid w:val="0"/>
        <w:spacing w:line="240" w:lineRule="auto"/>
        <w:ind w:firstLine="400"/>
        <w:jc w:val="both"/>
        <w:rPr>
          <w:rFonts w:eastAsia="新細明體"/>
          <w:sz w:val="20"/>
          <w:szCs w:val="20"/>
        </w:rPr>
      </w:pPr>
      <w:r w:rsidRPr="00BA76F4">
        <w:rPr>
          <w:rFonts w:eastAsia="新細明體" w:hint="eastAsia"/>
          <w:sz w:val="20"/>
          <w:szCs w:val="20"/>
        </w:rPr>
        <w:t>在電瓶性能的電容量標示，一般以伏特</w:t>
      </w:r>
      <w:r w:rsidRPr="00BA76F4">
        <w:rPr>
          <w:rFonts w:eastAsia="新細明體"/>
          <w:sz w:val="20"/>
          <w:szCs w:val="20"/>
        </w:rPr>
        <w:t>/</w:t>
      </w:r>
      <w:r w:rsidRPr="00BA76F4">
        <w:rPr>
          <w:rFonts w:eastAsia="新細明體" w:hint="eastAsia"/>
          <w:sz w:val="20"/>
          <w:szCs w:val="20"/>
        </w:rPr>
        <w:t>安培小時</w:t>
      </w:r>
      <w:r w:rsidRPr="00BA76F4">
        <w:rPr>
          <w:rFonts w:eastAsia="新細明體"/>
          <w:sz w:val="20"/>
          <w:szCs w:val="20"/>
        </w:rPr>
        <w:t>(V/AH)</w:t>
      </w:r>
      <w:r w:rsidRPr="00BA76F4">
        <w:rPr>
          <w:rFonts w:eastAsia="新細明體" w:hint="eastAsia"/>
          <w:sz w:val="20"/>
          <w:szCs w:val="20"/>
        </w:rPr>
        <w:t>為單位，但在電瓶外殼正面，通常會標示出的性能等級，國際性的性能等級一般都以安培小時</w:t>
      </w:r>
      <w:r w:rsidRPr="00BA76F4">
        <w:rPr>
          <w:rFonts w:eastAsia="新細明體"/>
          <w:sz w:val="20"/>
          <w:szCs w:val="20"/>
        </w:rPr>
        <w:t>(AH</w:t>
      </w:r>
      <w:r w:rsidRPr="00332058">
        <w:rPr>
          <w:rFonts w:eastAsia="新細明體"/>
          <w:sz w:val="20"/>
          <w:szCs w:val="20"/>
        </w:rPr>
        <w:t>)</w:t>
      </w:r>
      <w:r w:rsidRPr="00332058">
        <w:rPr>
          <w:rFonts w:eastAsia="新細明體" w:hint="eastAsia"/>
          <w:sz w:val="20"/>
          <w:szCs w:val="20"/>
        </w:rPr>
        <w:t>、儲備能量</w:t>
      </w:r>
      <w:r w:rsidRPr="00332058">
        <w:rPr>
          <w:rFonts w:eastAsia="新細明體"/>
          <w:sz w:val="20"/>
          <w:szCs w:val="20"/>
        </w:rPr>
        <w:t>(RC)</w:t>
      </w:r>
      <w:r w:rsidRPr="00332058">
        <w:rPr>
          <w:rFonts w:eastAsia="新細明體" w:hint="eastAsia"/>
          <w:sz w:val="20"/>
          <w:szCs w:val="20"/>
        </w:rPr>
        <w:t>、冷起動電流</w:t>
      </w:r>
      <w:r w:rsidRPr="00332058">
        <w:rPr>
          <w:rFonts w:eastAsia="新細明體"/>
          <w:sz w:val="20"/>
          <w:szCs w:val="20"/>
        </w:rPr>
        <w:t xml:space="preserve">(CCA) </w:t>
      </w:r>
      <w:r w:rsidRPr="00332058">
        <w:rPr>
          <w:rFonts w:eastAsia="新細明體" w:hint="eastAsia"/>
          <w:sz w:val="20"/>
          <w:szCs w:val="20"/>
        </w:rPr>
        <w:t>及起動電流</w:t>
      </w:r>
      <w:r w:rsidRPr="00332058">
        <w:rPr>
          <w:rFonts w:eastAsia="新細明體"/>
          <w:sz w:val="20"/>
          <w:szCs w:val="20"/>
        </w:rPr>
        <w:t>(CA)</w:t>
      </w:r>
      <w:r w:rsidRPr="00332058">
        <w:rPr>
          <w:rFonts w:eastAsia="新細明體" w:hint="eastAsia"/>
          <w:sz w:val="20"/>
          <w:szCs w:val="20"/>
        </w:rPr>
        <w:t>做為測定標準。這些測定標準的意義代表不同電瓶的性能等級，相關標準規範說明如下。</w:t>
      </w:r>
    </w:p>
    <w:p w:rsidR="00DA0D4E" w:rsidRPr="00BA76F4" w:rsidRDefault="00DA0D4E" w:rsidP="00332058">
      <w:pPr>
        <w:adjustRightInd w:val="0"/>
        <w:snapToGrid w:val="0"/>
        <w:spacing w:line="240" w:lineRule="auto"/>
        <w:ind w:firstLineChars="0" w:firstLine="0"/>
        <w:jc w:val="both"/>
        <w:rPr>
          <w:rFonts w:eastAsia="新細明體"/>
          <w:sz w:val="20"/>
          <w:szCs w:val="20"/>
        </w:rPr>
      </w:pPr>
      <w:r w:rsidRPr="00BA76F4">
        <w:rPr>
          <w:rFonts w:eastAsia="新細明體"/>
          <w:b/>
          <w:sz w:val="20"/>
          <w:szCs w:val="20"/>
        </w:rPr>
        <w:t>1.AH - Ampere Hour</w:t>
      </w:r>
      <w:r w:rsidRPr="00BA76F4">
        <w:rPr>
          <w:rFonts w:eastAsia="新細明體" w:hint="eastAsia"/>
          <w:b/>
          <w:sz w:val="20"/>
          <w:szCs w:val="20"/>
        </w:rPr>
        <w:t>安培小時</w:t>
      </w:r>
    </w:p>
    <w:p w:rsidR="00DA0D4E" w:rsidRPr="00BA76F4" w:rsidRDefault="00DA0D4E" w:rsidP="00332058">
      <w:pPr>
        <w:adjustRightInd w:val="0"/>
        <w:snapToGrid w:val="0"/>
        <w:spacing w:line="240" w:lineRule="auto"/>
        <w:ind w:firstLine="400"/>
        <w:jc w:val="both"/>
        <w:rPr>
          <w:rFonts w:eastAsia="新細明體"/>
          <w:b/>
          <w:sz w:val="20"/>
          <w:szCs w:val="20"/>
        </w:rPr>
      </w:pPr>
      <w:r w:rsidRPr="00BA76F4">
        <w:rPr>
          <w:rFonts w:eastAsia="新細明體" w:hint="eastAsia"/>
          <w:sz w:val="20"/>
          <w:szCs w:val="20"/>
        </w:rPr>
        <w:t>為日本工業標準</w:t>
      </w:r>
      <w:r w:rsidRPr="00BA76F4">
        <w:rPr>
          <w:rFonts w:eastAsia="新細明體"/>
          <w:sz w:val="20"/>
          <w:szCs w:val="20"/>
        </w:rPr>
        <w:t>(JIS)</w:t>
      </w:r>
      <w:r w:rsidRPr="00BA76F4">
        <w:rPr>
          <w:rFonts w:eastAsia="新細明體" w:hint="eastAsia"/>
          <w:sz w:val="20"/>
          <w:szCs w:val="20"/>
        </w:rPr>
        <w:t>所制定的標準。簡單的說，電瓶在</w:t>
      </w:r>
      <w:proofErr w:type="gramStart"/>
      <w:r w:rsidRPr="00BA76F4">
        <w:rPr>
          <w:rFonts w:eastAsia="新細明體" w:hint="eastAsia"/>
          <w:sz w:val="20"/>
          <w:szCs w:val="20"/>
        </w:rPr>
        <w:t>在</w:t>
      </w:r>
      <w:proofErr w:type="gramEnd"/>
      <w:smartTag w:uri="urn:schemas-microsoft-com:office:smarttags" w:element="chmetcnv">
        <w:smartTagPr>
          <w:attr w:name="UnitName" w:val="℃"/>
          <w:attr w:name="SourceValue" w:val="27"/>
          <w:attr w:name="HasSpace" w:val="False"/>
          <w:attr w:name="Negative" w:val="False"/>
          <w:attr w:name="NumberType" w:val="1"/>
          <w:attr w:name="TCSC" w:val="0"/>
        </w:smartTagPr>
        <w:r w:rsidRPr="00BA76F4">
          <w:rPr>
            <w:rFonts w:eastAsia="新細明體"/>
            <w:sz w:val="20"/>
            <w:szCs w:val="20"/>
          </w:rPr>
          <w:t>27</w:t>
        </w:r>
        <w:r w:rsidRPr="0046451E">
          <w:rPr>
            <w:rFonts w:ascii="新細明體" w:eastAsia="新細明體" w:hAnsi="新細明體" w:cs="新細明體" w:hint="eastAsia"/>
            <w:sz w:val="20"/>
            <w:szCs w:val="20"/>
          </w:rPr>
          <w:t>℃</w:t>
        </w:r>
      </w:smartTag>
      <w:r w:rsidRPr="00BA76F4">
        <w:rPr>
          <w:rFonts w:eastAsia="新細明體" w:hint="eastAsia"/>
          <w:sz w:val="20"/>
          <w:szCs w:val="20"/>
        </w:rPr>
        <w:t>的狀況下，以一個固定的安培數放電，且放電後最低電壓維持在</w:t>
      </w:r>
      <w:r w:rsidRPr="00BA76F4">
        <w:rPr>
          <w:rFonts w:eastAsia="新細明體"/>
          <w:sz w:val="20"/>
          <w:szCs w:val="20"/>
        </w:rPr>
        <w:t>10.5</w:t>
      </w:r>
      <w:r w:rsidRPr="00BA76F4">
        <w:rPr>
          <w:rFonts w:eastAsia="新細明體" w:hint="eastAsia"/>
          <w:sz w:val="20"/>
          <w:szCs w:val="20"/>
        </w:rPr>
        <w:t>伏特以上持續</w:t>
      </w:r>
      <w:r w:rsidRPr="00BA76F4">
        <w:rPr>
          <w:rFonts w:eastAsia="新細明體"/>
          <w:sz w:val="20"/>
          <w:szCs w:val="20"/>
        </w:rPr>
        <w:t>20</w:t>
      </w:r>
      <w:r w:rsidRPr="00BA76F4">
        <w:rPr>
          <w:rFonts w:eastAsia="新細明體" w:hint="eastAsia"/>
          <w:sz w:val="20"/>
          <w:szCs w:val="20"/>
        </w:rPr>
        <w:t>小時，此一固定安培數乘以小時數即為安培小時。例如以</w:t>
      </w:r>
      <w:r w:rsidRPr="00BA76F4">
        <w:rPr>
          <w:rFonts w:eastAsia="新細明體"/>
          <w:sz w:val="20"/>
          <w:szCs w:val="20"/>
        </w:rPr>
        <w:t>20</w:t>
      </w:r>
      <w:r w:rsidRPr="00BA76F4">
        <w:rPr>
          <w:rFonts w:eastAsia="新細明體" w:hint="eastAsia"/>
          <w:sz w:val="20"/>
          <w:szCs w:val="20"/>
        </w:rPr>
        <w:t>小時固定</w:t>
      </w:r>
      <w:r w:rsidRPr="00BA76F4">
        <w:rPr>
          <w:rFonts w:eastAsia="新細明體"/>
          <w:sz w:val="20"/>
          <w:szCs w:val="20"/>
        </w:rPr>
        <w:t>4.2</w:t>
      </w:r>
      <w:r w:rsidRPr="00BA76F4">
        <w:rPr>
          <w:rFonts w:eastAsia="新細明體" w:hint="eastAsia"/>
          <w:sz w:val="20"/>
          <w:szCs w:val="20"/>
        </w:rPr>
        <w:t>安培放電，則電瓶的安培小時數為</w:t>
      </w:r>
      <w:r w:rsidRPr="00BA76F4">
        <w:rPr>
          <w:rFonts w:eastAsia="新細明體"/>
          <w:sz w:val="20"/>
          <w:szCs w:val="20"/>
        </w:rPr>
        <w:t>48</w:t>
      </w:r>
      <w:r w:rsidRPr="00BA76F4">
        <w:rPr>
          <w:rFonts w:eastAsia="新細明體" w:hint="eastAsia"/>
          <w:sz w:val="20"/>
          <w:szCs w:val="20"/>
        </w:rPr>
        <w:t>，換言之，當電瓶容量愈高其</w:t>
      </w:r>
      <w:r w:rsidRPr="00BA76F4">
        <w:rPr>
          <w:rFonts w:eastAsia="新細明體"/>
          <w:sz w:val="20"/>
          <w:szCs w:val="20"/>
        </w:rPr>
        <w:t>CCA</w:t>
      </w:r>
      <w:r w:rsidRPr="00BA76F4">
        <w:rPr>
          <w:rFonts w:eastAsia="新細明體" w:hint="eastAsia"/>
          <w:sz w:val="20"/>
          <w:szCs w:val="20"/>
        </w:rPr>
        <w:t>也愈高，電瓶重量相對更重。</w:t>
      </w:r>
    </w:p>
    <w:p w:rsidR="00DA0D4E" w:rsidRPr="00BA76F4" w:rsidRDefault="00DA0D4E" w:rsidP="00332058">
      <w:pPr>
        <w:adjustRightInd w:val="0"/>
        <w:snapToGrid w:val="0"/>
        <w:spacing w:line="240" w:lineRule="auto"/>
        <w:ind w:firstLineChars="0" w:firstLine="0"/>
        <w:rPr>
          <w:rFonts w:eastAsia="新細明體"/>
          <w:b/>
          <w:sz w:val="20"/>
          <w:szCs w:val="20"/>
        </w:rPr>
      </w:pPr>
      <w:r w:rsidRPr="00BA76F4">
        <w:rPr>
          <w:rFonts w:eastAsia="新細明體"/>
          <w:b/>
          <w:sz w:val="20"/>
          <w:szCs w:val="20"/>
        </w:rPr>
        <w:t>2.RC - Reserve Capacity</w:t>
      </w:r>
      <w:r w:rsidRPr="00BA76F4">
        <w:rPr>
          <w:rFonts w:eastAsia="新細明體" w:hint="eastAsia"/>
          <w:b/>
          <w:sz w:val="20"/>
          <w:szCs w:val="20"/>
        </w:rPr>
        <w:t>儲備能量</w:t>
      </w:r>
    </w:p>
    <w:p w:rsidR="00DA0D4E" w:rsidRPr="00BA76F4" w:rsidRDefault="00DA0D4E" w:rsidP="00332058">
      <w:pPr>
        <w:adjustRightInd w:val="0"/>
        <w:snapToGrid w:val="0"/>
        <w:spacing w:line="240" w:lineRule="auto"/>
        <w:ind w:firstLine="400"/>
        <w:jc w:val="both"/>
        <w:rPr>
          <w:rFonts w:eastAsia="新細明體"/>
          <w:sz w:val="20"/>
          <w:szCs w:val="20"/>
        </w:rPr>
      </w:pPr>
      <w:r w:rsidRPr="00BA76F4">
        <w:rPr>
          <w:rFonts w:eastAsia="新細明體" w:hint="eastAsia"/>
          <w:sz w:val="20"/>
          <w:szCs w:val="20"/>
        </w:rPr>
        <w:t>儲備能量單位為分鐘。國際電瓶協會</w:t>
      </w:r>
      <w:r w:rsidRPr="00BA76F4">
        <w:rPr>
          <w:rFonts w:eastAsia="新細明體"/>
          <w:sz w:val="20"/>
          <w:szCs w:val="20"/>
        </w:rPr>
        <w:t>(BCI)</w:t>
      </w:r>
      <w:r w:rsidRPr="00BA76F4">
        <w:rPr>
          <w:rFonts w:eastAsia="新細明體" w:hint="eastAsia"/>
          <w:sz w:val="20"/>
          <w:szCs w:val="20"/>
        </w:rPr>
        <w:t>在考量在緯度較高地區，若是在行駛途中發電機失效，相對溫度較低，如果與維修廠相距距離太遙遠，汽車電瓶便要擔負起維持一段時間的電源供應的功能。當車輛在發電機未作用或失效時，電瓶電力需可維持車輛繼續運轉及行駛時車上電器所需用電，包含引擎點火系統、大燈、冷暖氣、車窗除霧及雨刷等等都是由車上的電瓶來供應。若以規範而言，儲備能量之定義為，「當電瓶在</w:t>
      </w:r>
      <w:smartTag w:uri="urn:schemas-microsoft-com:office:smarttags" w:element="chmetcnv">
        <w:smartTagPr>
          <w:attr w:name="UnitName" w:val="℃"/>
          <w:attr w:name="SourceValue" w:val="27"/>
          <w:attr w:name="HasSpace" w:val="False"/>
          <w:attr w:name="Negative" w:val="False"/>
          <w:attr w:name="NumberType" w:val="1"/>
          <w:attr w:name="TCSC" w:val="0"/>
        </w:smartTagPr>
        <w:r w:rsidRPr="00BA76F4">
          <w:rPr>
            <w:rFonts w:eastAsia="新細明體"/>
            <w:sz w:val="20"/>
            <w:szCs w:val="20"/>
          </w:rPr>
          <w:t>27</w:t>
        </w:r>
        <w:r w:rsidRPr="0046451E">
          <w:rPr>
            <w:rFonts w:ascii="新細明體" w:eastAsia="新細明體" w:hAnsi="新細明體" w:cs="新細明體" w:hint="eastAsia"/>
            <w:sz w:val="20"/>
            <w:szCs w:val="20"/>
          </w:rPr>
          <w:t>℃</w:t>
        </w:r>
      </w:smartTag>
      <w:r w:rsidRPr="00BA76F4">
        <w:rPr>
          <w:rFonts w:eastAsia="新細明體" w:hint="eastAsia"/>
          <w:sz w:val="20"/>
          <w:szCs w:val="20"/>
        </w:rPr>
        <w:t>的狀況下，每分鐘的平均電力負載如能達到</w:t>
      </w:r>
      <w:r w:rsidRPr="00BA76F4">
        <w:rPr>
          <w:rFonts w:eastAsia="新細明體"/>
          <w:sz w:val="20"/>
          <w:szCs w:val="20"/>
        </w:rPr>
        <w:t>25</w:t>
      </w:r>
      <w:r w:rsidRPr="00BA76F4">
        <w:rPr>
          <w:rFonts w:eastAsia="新細明體" w:hint="eastAsia"/>
          <w:sz w:val="20"/>
          <w:szCs w:val="20"/>
        </w:rPr>
        <w:t>安培，且持續放電後能維持最低電壓在</w:t>
      </w:r>
      <w:r w:rsidRPr="00BA76F4">
        <w:rPr>
          <w:rFonts w:eastAsia="新細明體"/>
          <w:sz w:val="20"/>
          <w:szCs w:val="20"/>
        </w:rPr>
        <w:t>10.5</w:t>
      </w:r>
      <w:r w:rsidRPr="00BA76F4">
        <w:rPr>
          <w:rFonts w:eastAsia="新細明體" w:hint="eastAsia"/>
          <w:sz w:val="20"/>
          <w:szCs w:val="20"/>
        </w:rPr>
        <w:t>伏特以上的時間」。電瓶上標明儲備能量為</w:t>
      </w:r>
      <w:r w:rsidRPr="00BA76F4">
        <w:rPr>
          <w:rFonts w:eastAsia="新細明體"/>
          <w:sz w:val="20"/>
          <w:szCs w:val="20"/>
        </w:rPr>
        <w:t>110 min</w:t>
      </w:r>
      <w:r w:rsidRPr="00BA76F4">
        <w:rPr>
          <w:rFonts w:eastAsia="新細明體" w:hint="eastAsia"/>
          <w:sz w:val="20"/>
          <w:szCs w:val="20"/>
        </w:rPr>
        <w:t>，表示您的電瓶可以在發電機失效下，讓車輛繼續行駛</w:t>
      </w:r>
      <w:r w:rsidRPr="00BA76F4">
        <w:rPr>
          <w:rFonts w:eastAsia="新細明體"/>
          <w:sz w:val="20"/>
          <w:szCs w:val="20"/>
        </w:rPr>
        <w:t>110</w:t>
      </w:r>
      <w:r w:rsidRPr="00BA76F4">
        <w:rPr>
          <w:rFonts w:eastAsia="新細明體" w:hint="eastAsia"/>
          <w:sz w:val="20"/>
          <w:szCs w:val="20"/>
        </w:rPr>
        <w:t>分鐘持續放電，並維持最低電壓在</w:t>
      </w:r>
      <w:r w:rsidRPr="00BA76F4">
        <w:rPr>
          <w:rFonts w:eastAsia="新細明體"/>
          <w:sz w:val="20"/>
          <w:szCs w:val="20"/>
        </w:rPr>
        <w:t>10.5</w:t>
      </w:r>
      <w:r w:rsidRPr="00BA76F4">
        <w:rPr>
          <w:rFonts w:eastAsia="新細明體" w:hint="eastAsia"/>
          <w:sz w:val="20"/>
          <w:szCs w:val="20"/>
        </w:rPr>
        <w:t>伏特以上。</w:t>
      </w:r>
    </w:p>
    <w:p w:rsidR="00DA0D4E" w:rsidRPr="00BA76F4" w:rsidRDefault="00DA0D4E" w:rsidP="00332058">
      <w:pPr>
        <w:adjustRightInd w:val="0"/>
        <w:snapToGrid w:val="0"/>
        <w:spacing w:line="240" w:lineRule="auto"/>
        <w:ind w:firstLineChars="0" w:firstLine="0"/>
        <w:jc w:val="both"/>
        <w:rPr>
          <w:rFonts w:eastAsia="新細明體"/>
          <w:b/>
          <w:sz w:val="20"/>
          <w:szCs w:val="20"/>
        </w:rPr>
      </w:pPr>
      <w:r w:rsidRPr="00BA76F4">
        <w:rPr>
          <w:rFonts w:eastAsia="新細明體"/>
          <w:b/>
          <w:sz w:val="20"/>
          <w:szCs w:val="20"/>
        </w:rPr>
        <w:t>3.CCA - Cold Cranking Ampere</w:t>
      </w:r>
      <w:r w:rsidRPr="00BA76F4">
        <w:rPr>
          <w:rFonts w:eastAsia="新細明體" w:hint="eastAsia"/>
          <w:b/>
          <w:sz w:val="20"/>
          <w:szCs w:val="20"/>
        </w:rPr>
        <w:t>冷起動電流</w:t>
      </w:r>
    </w:p>
    <w:p w:rsidR="00DA0D4E" w:rsidRPr="00332058" w:rsidRDefault="00DA0D4E" w:rsidP="00332058">
      <w:pPr>
        <w:adjustRightInd w:val="0"/>
        <w:snapToGrid w:val="0"/>
        <w:spacing w:line="240" w:lineRule="auto"/>
        <w:ind w:firstLine="400"/>
        <w:jc w:val="both"/>
        <w:rPr>
          <w:rFonts w:eastAsia="新細明體"/>
          <w:sz w:val="20"/>
          <w:szCs w:val="20"/>
        </w:rPr>
      </w:pPr>
      <w:r w:rsidRPr="00332058">
        <w:rPr>
          <w:rFonts w:eastAsia="新細明體" w:hint="eastAsia"/>
          <w:sz w:val="20"/>
          <w:szCs w:val="20"/>
        </w:rPr>
        <w:t>冷起動電流單位為安培。一般老舊車輛，往往在操作起動馬達時無法順利起動</w:t>
      </w:r>
      <w:r w:rsidRPr="00332058">
        <w:rPr>
          <w:rFonts w:eastAsia="新細明體"/>
          <w:sz w:val="20"/>
          <w:szCs w:val="20"/>
        </w:rPr>
        <w:t>(cranking)</w:t>
      </w:r>
      <w:r w:rsidRPr="00332058">
        <w:rPr>
          <w:rFonts w:eastAsia="新細明體" w:hint="eastAsia"/>
          <w:sz w:val="20"/>
          <w:szCs w:val="20"/>
        </w:rPr>
        <w:t>，必需維持數秒以上或第二次起動才能使引擎發動</w:t>
      </w:r>
      <w:r w:rsidRPr="00332058">
        <w:rPr>
          <w:rFonts w:eastAsia="新細明體"/>
          <w:sz w:val="20"/>
          <w:szCs w:val="20"/>
        </w:rPr>
        <w:t>(running)</w:t>
      </w:r>
      <w:r w:rsidRPr="00332058">
        <w:rPr>
          <w:rFonts w:eastAsia="新細明體" w:hint="eastAsia"/>
          <w:sz w:val="20"/>
          <w:szCs w:val="20"/>
        </w:rPr>
        <w:t>。由於在起動引擎時是電瓶電量消耗甚至達</w:t>
      </w:r>
      <w:r w:rsidRPr="00332058">
        <w:rPr>
          <w:rFonts w:eastAsia="新細明體"/>
          <w:sz w:val="20"/>
          <w:szCs w:val="20"/>
        </w:rPr>
        <w:t>300~600</w:t>
      </w:r>
      <w:r w:rsidRPr="00332058">
        <w:rPr>
          <w:rFonts w:eastAsia="新細明體" w:hint="eastAsia"/>
          <w:sz w:val="20"/>
          <w:szCs w:val="20"/>
        </w:rPr>
        <w:t>安培，短時間大電流輸出的瞬間，電瓶的電壓可以從正常電壓</w:t>
      </w:r>
      <w:r w:rsidRPr="00332058">
        <w:rPr>
          <w:rFonts w:eastAsia="新細明體"/>
          <w:sz w:val="20"/>
          <w:szCs w:val="20"/>
        </w:rPr>
        <w:t>(12.5V)</w:t>
      </w:r>
      <w:r w:rsidRPr="00332058">
        <w:rPr>
          <w:rFonts w:eastAsia="新細明體" w:hint="eastAsia"/>
          <w:sz w:val="20"/>
          <w:szCs w:val="20"/>
        </w:rPr>
        <w:t>下降至</w:t>
      </w:r>
      <w:r w:rsidRPr="00332058">
        <w:rPr>
          <w:rFonts w:eastAsia="新細明體"/>
          <w:sz w:val="20"/>
          <w:szCs w:val="20"/>
        </w:rPr>
        <w:t>10.5V</w:t>
      </w:r>
      <w:r w:rsidRPr="00332058">
        <w:rPr>
          <w:rFonts w:eastAsia="新細明體" w:hint="eastAsia"/>
          <w:sz w:val="20"/>
          <w:szCs w:val="20"/>
        </w:rPr>
        <w:t>，甚至更低。愈大的冷起動電流對這種起動不順的情形會有較大的幫助。若以規範而言，冷起動電流之定義為，「當電瓶在</w:t>
      </w:r>
      <w:smartTag w:uri="urn:schemas-microsoft-com:office:smarttags" w:element="chmetcnv">
        <w:smartTagPr>
          <w:attr w:name="UnitName" w:val="℃"/>
          <w:attr w:name="SourceValue" w:val="17.8"/>
          <w:attr w:name="HasSpace" w:val="False"/>
          <w:attr w:name="Negative" w:val="True"/>
          <w:attr w:name="NumberType" w:val="1"/>
          <w:attr w:name="TCSC" w:val="0"/>
        </w:smartTagPr>
        <w:r w:rsidRPr="00332058">
          <w:rPr>
            <w:rFonts w:eastAsia="新細明體"/>
            <w:sz w:val="20"/>
            <w:szCs w:val="20"/>
          </w:rPr>
          <w:t>-17.8</w:t>
        </w:r>
        <w:r w:rsidRPr="00332058">
          <w:rPr>
            <w:rFonts w:ascii="新細明體" w:eastAsia="新細明體" w:hAnsi="新細明體" w:cs="新細明體" w:hint="eastAsia"/>
            <w:sz w:val="20"/>
            <w:szCs w:val="20"/>
          </w:rPr>
          <w:t>℃</w:t>
        </w:r>
      </w:smartTag>
      <w:r w:rsidRPr="00332058">
        <w:rPr>
          <w:rFonts w:eastAsia="新細明體"/>
          <w:sz w:val="20"/>
          <w:szCs w:val="20"/>
        </w:rPr>
        <w:t>(</w:t>
      </w:r>
      <w:smartTag w:uri="urn:schemas-microsoft-com:office:smarttags" w:element="chmetcnv">
        <w:smartTagPr>
          <w:attr w:name="UnitName" w:val="ﾰF"/>
          <w:attr w:name="SourceValue" w:val="0"/>
          <w:attr w:name="HasSpace" w:val="False"/>
          <w:attr w:name="Negative" w:val="False"/>
          <w:attr w:name="NumberType" w:val="1"/>
          <w:attr w:name="TCSC" w:val="0"/>
        </w:smartTagPr>
        <w:r w:rsidRPr="00332058">
          <w:rPr>
            <w:rFonts w:eastAsia="新細明體"/>
            <w:sz w:val="20"/>
            <w:szCs w:val="20"/>
          </w:rPr>
          <w:t>0°F</w:t>
        </w:r>
      </w:smartTag>
      <w:r w:rsidRPr="00332058">
        <w:rPr>
          <w:rFonts w:eastAsia="新細明體"/>
          <w:sz w:val="20"/>
          <w:szCs w:val="20"/>
        </w:rPr>
        <w:t>)</w:t>
      </w:r>
      <w:r w:rsidRPr="00332058">
        <w:rPr>
          <w:rFonts w:eastAsia="新細明體" w:hint="eastAsia"/>
          <w:sz w:val="20"/>
          <w:szCs w:val="20"/>
        </w:rPr>
        <w:t>的寒冷天氣環境下，起動引擎的能力指標，愈高的冷起動電流表示可提高引擎越大的冷起動電力」。</w:t>
      </w:r>
    </w:p>
    <w:p w:rsidR="00DA0D4E" w:rsidRPr="00332058" w:rsidRDefault="00DA0D4E" w:rsidP="00332058">
      <w:pPr>
        <w:adjustRightInd w:val="0"/>
        <w:snapToGrid w:val="0"/>
        <w:spacing w:line="240" w:lineRule="auto"/>
        <w:ind w:firstLine="400"/>
        <w:jc w:val="both"/>
        <w:rPr>
          <w:rFonts w:eastAsia="新細明體"/>
          <w:sz w:val="20"/>
          <w:szCs w:val="20"/>
        </w:rPr>
      </w:pPr>
      <w:r w:rsidRPr="00332058">
        <w:rPr>
          <w:rFonts w:eastAsia="新細明體" w:hint="eastAsia"/>
          <w:sz w:val="20"/>
          <w:szCs w:val="20"/>
        </w:rPr>
        <w:t>如上所述，通常排氣量較大的車輛也需要有較高的冷起動能力，所消耗的電流電流更高，相關研究顯示排氣量與</w:t>
      </w:r>
      <w:r w:rsidRPr="00332058">
        <w:rPr>
          <w:rFonts w:eastAsia="新細明體"/>
          <w:sz w:val="20"/>
          <w:szCs w:val="20"/>
        </w:rPr>
        <w:t>CCA</w:t>
      </w:r>
      <w:r w:rsidRPr="00332058">
        <w:rPr>
          <w:rFonts w:eastAsia="新細明體" w:hint="eastAsia"/>
          <w:sz w:val="20"/>
          <w:szCs w:val="20"/>
        </w:rPr>
        <w:t>之對應值如下表</w:t>
      </w:r>
    </w:p>
    <w:p w:rsidR="00DA0D4E" w:rsidRDefault="00DA0D4E" w:rsidP="00332058">
      <w:pPr>
        <w:spacing w:line="240" w:lineRule="auto"/>
        <w:ind w:firstLineChars="0" w:firstLine="0"/>
        <w:jc w:val="center"/>
        <w:rPr>
          <w:rFonts w:ascii="新細明體" w:eastAsia="新細明體" w:hAnsi="新細明體"/>
          <w:sz w:val="20"/>
          <w:szCs w:val="20"/>
        </w:rPr>
      </w:pPr>
      <w:r w:rsidRPr="00332058">
        <w:rPr>
          <w:rFonts w:ascii="新細明體" w:eastAsia="新細明體" w:hAnsi="新細明體" w:hint="eastAsia"/>
          <w:sz w:val="20"/>
          <w:szCs w:val="20"/>
        </w:rPr>
        <w:t>表</w:t>
      </w:r>
      <w:r w:rsidRPr="00332058">
        <w:rPr>
          <w:rFonts w:eastAsia="新細明體"/>
          <w:sz w:val="20"/>
          <w:szCs w:val="20"/>
        </w:rPr>
        <w:t>1</w:t>
      </w:r>
      <w:r w:rsidRPr="00332058">
        <w:rPr>
          <w:rFonts w:ascii="新細明體" w:eastAsia="新細明體" w:hAnsi="新細明體"/>
          <w:sz w:val="20"/>
          <w:szCs w:val="20"/>
        </w:rPr>
        <w:t xml:space="preserve"> </w:t>
      </w:r>
      <w:r w:rsidRPr="00332058">
        <w:rPr>
          <w:rFonts w:ascii="新細明體" w:eastAsia="新細明體" w:hAnsi="新細明體" w:hint="eastAsia"/>
          <w:sz w:val="20"/>
          <w:szCs w:val="20"/>
        </w:rPr>
        <w:t>排氣量與</w:t>
      </w:r>
      <w:r w:rsidRPr="00332058">
        <w:rPr>
          <w:rFonts w:ascii="新細明體" w:eastAsia="新細明體" w:hAnsi="新細明體"/>
          <w:sz w:val="20"/>
          <w:szCs w:val="20"/>
        </w:rPr>
        <w:t>CCA</w:t>
      </w:r>
      <w:r w:rsidRPr="00332058">
        <w:rPr>
          <w:rFonts w:ascii="新細明體" w:eastAsia="新細明體" w:hAnsi="新細明體" w:hint="eastAsia"/>
          <w:sz w:val="20"/>
          <w:szCs w:val="20"/>
        </w:rPr>
        <w:t>之對應值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6"/>
        <w:gridCol w:w="3306"/>
      </w:tblGrid>
      <w:tr w:rsidR="00DA0D4E" w:rsidRPr="00BA76F4" w:rsidTr="00BC0253">
        <w:trPr>
          <w:trHeight w:val="364"/>
          <w:jc w:val="center"/>
        </w:trPr>
        <w:tc>
          <w:tcPr>
            <w:tcW w:w="3906" w:type="dxa"/>
          </w:tcPr>
          <w:p w:rsidR="00DA0D4E" w:rsidRPr="00BA76F4" w:rsidRDefault="00DA0D4E" w:rsidP="00BC0253">
            <w:pPr>
              <w:adjustRightInd w:val="0"/>
              <w:snapToGrid w:val="0"/>
              <w:spacing w:line="240" w:lineRule="auto"/>
              <w:ind w:firstLine="400"/>
              <w:jc w:val="both"/>
              <w:rPr>
                <w:rFonts w:eastAsia="新細明體"/>
                <w:sz w:val="20"/>
                <w:szCs w:val="20"/>
              </w:rPr>
            </w:pPr>
            <w:r w:rsidRPr="00BA76F4">
              <w:rPr>
                <w:rFonts w:eastAsia="新細明體" w:hint="eastAsia"/>
                <w:sz w:val="20"/>
                <w:szCs w:val="20"/>
              </w:rPr>
              <w:lastRenderedPageBreak/>
              <w:t>排氣量</w:t>
            </w:r>
          </w:p>
        </w:tc>
        <w:tc>
          <w:tcPr>
            <w:tcW w:w="3306" w:type="dxa"/>
          </w:tcPr>
          <w:p w:rsidR="00DA0D4E" w:rsidRPr="00BA76F4" w:rsidRDefault="00DA0D4E" w:rsidP="00BC0253">
            <w:pPr>
              <w:adjustRightInd w:val="0"/>
              <w:snapToGrid w:val="0"/>
              <w:spacing w:line="240" w:lineRule="auto"/>
              <w:ind w:firstLine="400"/>
              <w:jc w:val="both"/>
              <w:rPr>
                <w:rFonts w:eastAsia="新細明體"/>
                <w:sz w:val="20"/>
                <w:szCs w:val="20"/>
              </w:rPr>
            </w:pPr>
            <w:r w:rsidRPr="00BA76F4">
              <w:rPr>
                <w:rFonts w:eastAsia="新細明體" w:hint="eastAsia"/>
                <w:sz w:val="20"/>
                <w:szCs w:val="20"/>
              </w:rPr>
              <w:t>冷起動電流</w:t>
            </w:r>
          </w:p>
        </w:tc>
      </w:tr>
      <w:tr w:rsidR="00DA0D4E" w:rsidRPr="00BA76F4" w:rsidTr="00BC0253">
        <w:trPr>
          <w:trHeight w:val="364"/>
          <w:jc w:val="center"/>
        </w:trPr>
        <w:tc>
          <w:tcPr>
            <w:tcW w:w="3906" w:type="dxa"/>
          </w:tcPr>
          <w:p w:rsidR="00DA0D4E" w:rsidRPr="00BA76F4" w:rsidRDefault="00DA0D4E" w:rsidP="00BC0253">
            <w:pPr>
              <w:adjustRightInd w:val="0"/>
              <w:snapToGrid w:val="0"/>
              <w:spacing w:line="240" w:lineRule="auto"/>
              <w:ind w:firstLine="400"/>
              <w:jc w:val="both"/>
              <w:rPr>
                <w:rFonts w:eastAsia="新細明體"/>
                <w:sz w:val="20"/>
                <w:szCs w:val="20"/>
              </w:rPr>
            </w:pPr>
            <w:r w:rsidRPr="00BA76F4">
              <w:rPr>
                <w:rFonts w:eastAsia="新細明體"/>
                <w:sz w:val="20"/>
                <w:szCs w:val="20"/>
              </w:rPr>
              <w:t>1200cc~1600cc</w:t>
            </w:r>
          </w:p>
        </w:tc>
        <w:tc>
          <w:tcPr>
            <w:tcW w:w="3306" w:type="dxa"/>
          </w:tcPr>
          <w:p w:rsidR="00DA0D4E" w:rsidRPr="00BA76F4" w:rsidRDefault="00DA0D4E" w:rsidP="00BC0253">
            <w:pPr>
              <w:adjustRightInd w:val="0"/>
              <w:snapToGrid w:val="0"/>
              <w:spacing w:line="240" w:lineRule="auto"/>
              <w:ind w:firstLine="400"/>
              <w:jc w:val="both"/>
              <w:rPr>
                <w:rFonts w:eastAsia="新細明體"/>
                <w:sz w:val="20"/>
                <w:szCs w:val="20"/>
              </w:rPr>
            </w:pPr>
            <w:smartTag w:uri="urn:schemas-microsoft-com:office:smarttags" w:element="chmetcnv">
              <w:smartTagPr>
                <w:attr w:name="UnitName" w:val="a"/>
                <w:attr w:name="SourceValue" w:val="350"/>
                <w:attr w:name="HasSpace" w:val="False"/>
                <w:attr w:name="Negative" w:val="False"/>
                <w:attr w:name="NumberType" w:val="1"/>
                <w:attr w:name="TCSC" w:val="0"/>
              </w:smartTagPr>
              <w:r w:rsidRPr="00BA76F4">
                <w:rPr>
                  <w:rFonts w:eastAsia="新細明體"/>
                  <w:sz w:val="20"/>
                  <w:szCs w:val="20"/>
                </w:rPr>
                <w:t>350A</w:t>
              </w:r>
            </w:smartTag>
          </w:p>
        </w:tc>
      </w:tr>
      <w:tr w:rsidR="00DA0D4E" w:rsidRPr="00BA76F4" w:rsidTr="00BC0253">
        <w:trPr>
          <w:trHeight w:val="364"/>
          <w:jc w:val="center"/>
        </w:trPr>
        <w:tc>
          <w:tcPr>
            <w:tcW w:w="3906" w:type="dxa"/>
          </w:tcPr>
          <w:p w:rsidR="00DA0D4E" w:rsidRPr="00BA76F4" w:rsidRDefault="00DA0D4E" w:rsidP="00BC0253">
            <w:pPr>
              <w:adjustRightInd w:val="0"/>
              <w:snapToGrid w:val="0"/>
              <w:spacing w:line="240" w:lineRule="auto"/>
              <w:ind w:firstLine="400"/>
              <w:jc w:val="both"/>
              <w:rPr>
                <w:rFonts w:eastAsia="新細明體"/>
                <w:sz w:val="20"/>
                <w:szCs w:val="20"/>
              </w:rPr>
            </w:pPr>
            <w:r w:rsidRPr="00BA76F4">
              <w:rPr>
                <w:rFonts w:eastAsia="新細明體"/>
                <w:sz w:val="20"/>
                <w:szCs w:val="20"/>
              </w:rPr>
              <w:t>1600cc~2000cc</w:t>
            </w:r>
          </w:p>
        </w:tc>
        <w:tc>
          <w:tcPr>
            <w:tcW w:w="3306" w:type="dxa"/>
          </w:tcPr>
          <w:p w:rsidR="00DA0D4E" w:rsidRPr="00BA76F4" w:rsidRDefault="00DA0D4E" w:rsidP="00BC0253">
            <w:pPr>
              <w:adjustRightInd w:val="0"/>
              <w:snapToGrid w:val="0"/>
              <w:spacing w:line="240" w:lineRule="auto"/>
              <w:ind w:firstLine="400"/>
              <w:jc w:val="both"/>
              <w:rPr>
                <w:rFonts w:eastAsia="新細明體"/>
                <w:sz w:val="20"/>
                <w:szCs w:val="20"/>
              </w:rPr>
            </w:pPr>
            <w:smartTag w:uri="urn:schemas-microsoft-com:office:smarttags" w:element="chmetcnv">
              <w:smartTagPr>
                <w:attr w:name="UnitName" w:val="a"/>
                <w:attr w:name="SourceValue" w:val="500"/>
                <w:attr w:name="HasSpace" w:val="False"/>
                <w:attr w:name="Negative" w:val="False"/>
                <w:attr w:name="NumberType" w:val="1"/>
                <w:attr w:name="TCSC" w:val="0"/>
              </w:smartTagPr>
              <w:r w:rsidRPr="00BA76F4">
                <w:rPr>
                  <w:rFonts w:eastAsia="新細明體"/>
                  <w:sz w:val="20"/>
                  <w:szCs w:val="20"/>
                </w:rPr>
                <w:t>500A</w:t>
              </w:r>
            </w:smartTag>
          </w:p>
        </w:tc>
      </w:tr>
      <w:tr w:rsidR="00DA0D4E" w:rsidRPr="00BA76F4" w:rsidTr="00BC0253">
        <w:trPr>
          <w:trHeight w:val="356"/>
          <w:jc w:val="center"/>
        </w:trPr>
        <w:tc>
          <w:tcPr>
            <w:tcW w:w="3906" w:type="dxa"/>
          </w:tcPr>
          <w:p w:rsidR="00DA0D4E" w:rsidRPr="00BA76F4" w:rsidRDefault="00DA0D4E" w:rsidP="00BC0253">
            <w:pPr>
              <w:adjustRightInd w:val="0"/>
              <w:snapToGrid w:val="0"/>
              <w:spacing w:line="240" w:lineRule="auto"/>
              <w:ind w:firstLine="400"/>
              <w:jc w:val="both"/>
              <w:rPr>
                <w:rFonts w:eastAsia="新細明體"/>
                <w:sz w:val="20"/>
                <w:szCs w:val="20"/>
              </w:rPr>
            </w:pPr>
            <w:r w:rsidRPr="00BA76F4">
              <w:rPr>
                <w:rFonts w:eastAsia="新細明體"/>
                <w:sz w:val="20"/>
                <w:szCs w:val="20"/>
              </w:rPr>
              <w:t>2000cc~3000cc</w:t>
            </w:r>
          </w:p>
        </w:tc>
        <w:tc>
          <w:tcPr>
            <w:tcW w:w="3306" w:type="dxa"/>
          </w:tcPr>
          <w:p w:rsidR="00DA0D4E" w:rsidRPr="00BA76F4" w:rsidRDefault="00DA0D4E" w:rsidP="00BC0253">
            <w:pPr>
              <w:adjustRightInd w:val="0"/>
              <w:snapToGrid w:val="0"/>
              <w:spacing w:line="240" w:lineRule="auto"/>
              <w:ind w:firstLine="400"/>
              <w:jc w:val="both"/>
              <w:rPr>
                <w:rFonts w:eastAsia="新細明體"/>
                <w:sz w:val="20"/>
                <w:szCs w:val="20"/>
              </w:rPr>
            </w:pPr>
            <w:smartTag w:uri="urn:schemas-microsoft-com:office:smarttags" w:element="chmetcnv">
              <w:smartTagPr>
                <w:attr w:name="UnitName" w:val="a"/>
                <w:attr w:name="SourceValue" w:val="650"/>
                <w:attr w:name="HasSpace" w:val="False"/>
                <w:attr w:name="Negative" w:val="False"/>
                <w:attr w:name="NumberType" w:val="1"/>
                <w:attr w:name="TCSC" w:val="0"/>
              </w:smartTagPr>
              <w:r w:rsidRPr="00BA76F4">
                <w:rPr>
                  <w:rFonts w:eastAsia="新細明體"/>
                  <w:sz w:val="20"/>
                  <w:szCs w:val="20"/>
                </w:rPr>
                <w:t>650A</w:t>
              </w:r>
            </w:smartTag>
          </w:p>
        </w:tc>
      </w:tr>
      <w:tr w:rsidR="00DA0D4E" w:rsidRPr="00BA76F4" w:rsidTr="00BC0253">
        <w:trPr>
          <w:trHeight w:val="356"/>
          <w:jc w:val="center"/>
        </w:trPr>
        <w:tc>
          <w:tcPr>
            <w:tcW w:w="3906" w:type="dxa"/>
          </w:tcPr>
          <w:p w:rsidR="00DA0D4E" w:rsidRPr="00BA76F4" w:rsidRDefault="00DA0D4E" w:rsidP="00BC0253">
            <w:pPr>
              <w:adjustRightInd w:val="0"/>
              <w:snapToGrid w:val="0"/>
              <w:spacing w:line="240" w:lineRule="auto"/>
              <w:ind w:firstLine="400"/>
              <w:jc w:val="both"/>
              <w:rPr>
                <w:rFonts w:eastAsia="新細明體"/>
                <w:sz w:val="20"/>
                <w:szCs w:val="20"/>
              </w:rPr>
            </w:pPr>
            <w:r w:rsidRPr="00BA76F4">
              <w:rPr>
                <w:rFonts w:eastAsia="新細明體"/>
                <w:sz w:val="20"/>
                <w:szCs w:val="20"/>
              </w:rPr>
              <w:t>3000cc</w:t>
            </w:r>
            <w:r w:rsidRPr="00BA76F4">
              <w:rPr>
                <w:rFonts w:eastAsia="新細明體" w:hint="eastAsia"/>
                <w:sz w:val="20"/>
                <w:szCs w:val="20"/>
              </w:rPr>
              <w:t>以上</w:t>
            </w:r>
          </w:p>
        </w:tc>
        <w:tc>
          <w:tcPr>
            <w:tcW w:w="3306" w:type="dxa"/>
          </w:tcPr>
          <w:p w:rsidR="00DA0D4E" w:rsidRPr="00BA76F4" w:rsidRDefault="00DA0D4E" w:rsidP="00BC0253">
            <w:pPr>
              <w:adjustRightInd w:val="0"/>
              <w:snapToGrid w:val="0"/>
              <w:spacing w:line="240" w:lineRule="auto"/>
              <w:ind w:firstLine="400"/>
              <w:jc w:val="both"/>
              <w:rPr>
                <w:rFonts w:eastAsia="新細明體"/>
                <w:sz w:val="20"/>
                <w:szCs w:val="20"/>
              </w:rPr>
            </w:pPr>
            <w:smartTag w:uri="urn:schemas-microsoft-com:office:smarttags" w:element="chmetcnv">
              <w:smartTagPr>
                <w:attr w:name="UnitName" w:val="a"/>
                <w:attr w:name="SourceValue" w:val="750"/>
                <w:attr w:name="HasSpace" w:val="False"/>
                <w:attr w:name="Negative" w:val="False"/>
                <w:attr w:name="NumberType" w:val="1"/>
                <w:attr w:name="TCSC" w:val="0"/>
              </w:smartTagPr>
              <w:r w:rsidRPr="00BA76F4">
                <w:rPr>
                  <w:rFonts w:eastAsia="新細明體"/>
                  <w:sz w:val="20"/>
                  <w:szCs w:val="20"/>
                </w:rPr>
                <w:t>750A</w:t>
              </w:r>
            </w:smartTag>
          </w:p>
        </w:tc>
      </w:tr>
    </w:tbl>
    <w:p w:rsidR="00DA0D4E" w:rsidRPr="00BA76F4" w:rsidRDefault="00DA0D4E" w:rsidP="00332058">
      <w:pPr>
        <w:adjustRightInd w:val="0"/>
        <w:snapToGrid w:val="0"/>
        <w:spacing w:line="240" w:lineRule="auto"/>
        <w:ind w:firstLineChars="0" w:firstLine="0"/>
        <w:jc w:val="both"/>
        <w:rPr>
          <w:rFonts w:eastAsia="新細明體"/>
          <w:b/>
          <w:sz w:val="20"/>
          <w:szCs w:val="20"/>
        </w:rPr>
      </w:pPr>
      <w:r w:rsidRPr="00BA76F4">
        <w:rPr>
          <w:rFonts w:eastAsia="新細明體"/>
          <w:b/>
          <w:sz w:val="20"/>
          <w:szCs w:val="20"/>
        </w:rPr>
        <w:t>4.CA - Cranking Ampere</w:t>
      </w:r>
      <w:r w:rsidRPr="00BA76F4">
        <w:rPr>
          <w:rFonts w:eastAsia="新細明體" w:hint="eastAsia"/>
          <w:b/>
          <w:sz w:val="20"/>
          <w:szCs w:val="20"/>
        </w:rPr>
        <w:t>起動電流</w:t>
      </w:r>
    </w:p>
    <w:p w:rsidR="00DA0D4E" w:rsidRPr="00BA76F4" w:rsidRDefault="00DA0D4E" w:rsidP="00332058">
      <w:pPr>
        <w:adjustRightInd w:val="0"/>
        <w:snapToGrid w:val="0"/>
        <w:spacing w:line="240" w:lineRule="auto"/>
        <w:ind w:firstLine="400"/>
        <w:jc w:val="both"/>
        <w:rPr>
          <w:rFonts w:eastAsia="新細明體"/>
          <w:sz w:val="20"/>
          <w:szCs w:val="20"/>
        </w:rPr>
      </w:pPr>
      <w:r w:rsidRPr="00BA76F4">
        <w:rPr>
          <w:rFonts w:eastAsia="新細明體" w:hint="eastAsia"/>
          <w:b/>
          <w:sz w:val="20"/>
          <w:szCs w:val="20"/>
        </w:rPr>
        <w:t>起動搖轉電流</w:t>
      </w:r>
      <w:r w:rsidRPr="00BA76F4">
        <w:rPr>
          <w:rFonts w:eastAsia="新細明體" w:hint="eastAsia"/>
          <w:sz w:val="20"/>
          <w:szCs w:val="20"/>
        </w:rPr>
        <w:t>其意義與</w:t>
      </w:r>
      <w:r w:rsidRPr="00BA76F4">
        <w:rPr>
          <w:rFonts w:eastAsia="新細明體"/>
          <w:sz w:val="20"/>
          <w:szCs w:val="20"/>
        </w:rPr>
        <w:t>CCA</w:t>
      </w:r>
      <w:r w:rsidRPr="00BA76F4">
        <w:rPr>
          <w:rFonts w:eastAsia="新細明體" w:hint="eastAsia"/>
          <w:sz w:val="20"/>
          <w:szCs w:val="20"/>
        </w:rPr>
        <w:t>類似，單位同樣為安培，唯一與</w:t>
      </w:r>
      <w:r w:rsidRPr="00BA76F4">
        <w:rPr>
          <w:rFonts w:eastAsia="新細明體"/>
          <w:sz w:val="20"/>
          <w:szCs w:val="20"/>
        </w:rPr>
        <w:t>CCA</w:t>
      </w:r>
      <w:r w:rsidRPr="00BA76F4">
        <w:rPr>
          <w:rFonts w:eastAsia="新細明體" w:hint="eastAsia"/>
          <w:sz w:val="20"/>
          <w:szCs w:val="20"/>
        </w:rPr>
        <w:t>差異的是測定時之溫度。</w:t>
      </w:r>
      <w:r w:rsidRPr="00BA76F4">
        <w:rPr>
          <w:rFonts w:eastAsia="新細明體"/>
          <w:sz w:val="20"/>
          <w:szCs w:val="20"/>
        </w:rPr>
        <w:t>CCA</w:t>
      </w:r>
      <w:r w:rsidRPr="00BA76F4">
        <w:rPr>
          <w:rFonts w:eastAsia="新細明體" w:hint="eastAsia"/>
          <w:sz w:val="20"/>
          <w:szCs w:val="20"/>
        </w:rPr>
        <w:t>是在攝氏零下</w:t>
      </w:r>
      <w:r w:rsidRPr="00BA76F4">
        <w:rPr>
          <w:rFonts w:eastAsia="新細明體"/>
          <w:sz w:val="20"/>
          <w:szCs w:val="20"/>
        </w:rPr>
        <w:t>17.8</w:t>
      </w:r>
      <w:r w:rsidRPr="00BA76F4">
        <w:rPr>
          <w:rFonts w:eastAsia="新細明體" w:hint="eastAsia"/>
          <w:sz w:val="20"/>
          <w:szCs w:val="20"/>
        </w:rPr>
        <w:t>度環境下所得出的結果，</w:t>
      </w:r>
      <w:r w:rsidRPr="00BA76F4">
        <w:rPr>
          <w:rFonts w:eastAsia="新細明體"/>
          <w:sz w:val="20"/>
          <w:szCs w:val="20"/>
        </w:rPr>
        <w:t>CA</w:t>
      </w:r>
      <w:r w:rsidRPr="00BA76F4">
        <w:rPr>
          <w:rFonts w:eastAsia="新細明體" w:hint="eastAsia"/>
          <w:sz w:val="20"/>
          <w:szCs w:val="20"/>
        </w:rPr>
        <w:t>則是在攝氏零度環境下所得出的結果。</w:t>
      </w:r>
      <w:r w:rsidRPr="00BA76F4">
        <w:rPr>
          <w:rFonts w:eastAsia="新細明體" w:hint="eastAsia"/>
          <w:b/>
          <w:sz w:val="20"/>
          <w:szCs w:val="20"/>
        </w:rPr>
        <w:t>起動電流</w:t>
      </w:r>
      <w:r w:rsidRPr="00BA76F4">
        <w:rPr>
          <w:rFonts w:eastAsia="新細明體" w:hint="eastAsia"/>
          <w:sz w:val="20"/>
          <w:szCs w:val="20"/>
        </w:rPr>
        <w:t>之定義為，「當電瓶在</w:t>
      </w:r>
      <w:smartTag w:uri="urn:schemas-microsoft-com:office:smarttags" w:element="chmetcnv">
        <w:smartTagPr>
          <w:attr w:name="UnitName" w:val="℃"/>
          <w:attr w:name="SourceValue" w:val="0"/>
          <w:attr w:name="HasSpace" w:val="False"/>
          <w:attr w:name="Negative" w:val="False"/>
          <w:attr w:name="NumberType" w:val="1"/>
          <w:attr w:name="TCSC" w:val="0"/>
        </w:smartTagPr>
        <w:r w:rsidRPr="00BA76F4">
          <w:rPr>
            <w:rFonts w:eastAsia="新細明體"/>
            <w:sz w:val="20"/>
            <w:szCs w:val="20"/>
          </w:rPr>
          <w:t>0</w:t>
        </w:r>
        <w:r w:rsidRPr="0046451E">
          <w:rPr>
            <w:rFonts w:ascii="新細明體" w:eastAsia="新細明體" w:hAnsi="新細明體" w:cs="新細明體" w:hint="eastAsia"/>
            <w:sz w:val="20"/>
            <w:szCs w:val="20"/>
          </w:rPr>
          <w:t>℃</w:t>
        </w:r>
      </w:smartTag>
      <w:r w:rsidRPr="00BA76F4">
        <w:rPr>
          <w:rFonts w:eastAsia="新細明體" w:hint="eastAsia"/>
          <w:sz w:val="20"/>
          <w:szCs w:val="20"/>
        </w:rPr>
        <w:t>的寒冷天氣環境下，起動引擎的能力指標，愈高的起動電流表示可提供引擎越大的起動電力」。若同一個電瓶上同時標示</w:t>
      </w:r>
      <w:r w:rsidRPr="00BA76F4">
        <w:rPr>
          <w:rFonts w:eastAsia="新細明體"/>
          <w:sz w:val="20"/>
          <w:szCs w:val="20"/>
        </w:rPr>
        <w:t>CCA</w:t>
      </w:r>
      <w:r w:rsidRPr="00BA76F4">
        <w:rPr>
          <w:rFonts w:eastAsia="新細明體" w:hint="eastAsia"/>
          <w:sz w:val="20"/>
          <w:szCs w:val="20"/>
        </w:rPr>
        <w:t>及</w:t>
      </w:r>
      <w:r w:rsidRPr="00BA76F4">
        <w:rPr>
          <w:rFonts w:eastAsia="新細明體"/>
          <w:sz w:val="20"/>
          <w:szCs w:val="20"/>
        </w:rPr>
        <w:t>CA</w:t>
      </w:r>
      <w:r w:rsidRPr="00BA76F4">
        <w:rPr>
          <w:rFonts w:eastAsia="新細明體" w:hint="eastAsia"/>
          <w:sz w:val="20"/>
          <w:szCs w:val="20"/>
        </w:rPr>
        <w:t>，</w:t>
      </w:r>
      <w:r w:rsidRPr="00BA76F4">
        <w:rPr>
          <w:rFonts w:eastAsia="新細明體"/>
          <w:sz w:val="20"/>
          <w:szCs w:val="20"/>
        </w:rPr>
        <w:t>CCA</w:t>
      </w:r>
      <w:r w:rsidRPr="00BA76F4">
        <w:rPr>
          <w:rFonts w:eastAsia="新細明體" w:hint="eastAsia"/>
          <w:sz w:val="20"/>
          <w:szCs w:val="20"/>
        </w:rPr>
        <w:t>的數值會比</w:t>
      </w:r>
      <w:r w:rsidRPr="00BA76F4">
        <w:rPr>
          <w:rFonts w:eastAsia="新細明體"/>
          <w:sz w:val="20"/>
          <w:szCs w:val="20"/>
        </w:rPr>
        <w:t>CA</w:t>
      </w:r>
      <w:r w:rsidRPr="00BA76F4">
        <w:rPr>
          <w:rFonts w:eastAsia="新細明體" w:hint="eastAsia"/>
          <w:sz w:val="20"/>
          <w:szCs w:val="20"/>
        </w:rPr>
        <w:t>來得低，因為溫度愈低，電瓶的表現會愈差。</w:t>
      </w:r>
    </w:p>
    <w:p w:rsidR="00DA0D4E" w:rsidRPr="00BA76F4" w:rsidRDefault="00DA0D4E" w:rsidP="00332058">
      <w:pPr>
        <w:adjustRightInd w:val="0"/>
        <w:snapToGrid w:val="0"/>
        <w:spacing w:line="240" w:lineRule="auto"/>
        <w:ind w:firstLine="400"/>
        <w:jc w:val="both"/>
        <w:rPr>
          <w:rFonts w:eastAsia="新細明體"/>
          <w:sz w:val="20"/>
          <w:szCs w:val="20"/>
        </w:rPr>
      </w:pPr>
      <w:r w:rsidRPr="00BA76F4">
        <w:rPr>
          <w:rFonts w:eastAsia="新細明體" w:hint="eastAsia"/>
          <w:sz w:val="20"/>
          <w:szCs w:val="20"/>
        </w:rPr>
        <w:t>在實務使用上</w:t>
      </w:r>
      <w:r>
        <w:rPr>
          <w:rFonts w:eastAsia="新細明體" w:hint="eastAsia"/>
          <w:sz w:val="20"/>
          <w:szCs w:val="20"/>
        </w:rPr>
        <w:t>，原廠所配備的電瓶電容量、安培數，要符合車輛原裝電器最大負載的狀態</w:t>
      </w:r>
      <w:r w:rsidRPr="00BA76F4">
        <w:rPr>
          <w:rFonts w:eastAsia="新細明體" w:hint="eastAsia"/>
          <w:sz w:val="20"/>
          <w:szCs w:val="20"/>
        </w:rPr>
        <w:t>，但如果行車型態常需要高電器負載</w:t>
      </w:r>
      <w:r w:rsidRPr="00BA76F4">
        <w:rPr>
          <w:rFonts w:eastAsia="新細明體"/>
          <w:sz w:val="20"/>
          <w:szCs w:val="20"/>
        </w:rPr>
        <w:t>(</w:t>
      </w:r>
      <w:r w:rsidRPr="00BA76F4">
        <w:rPr>
          <w:rFonts w:eastAsia="新細明體" w:hint="eastAsia"/>
          <w:sz w:val="20"/>
          <w:szCs w:val="20"/>
        </w:rPr>
        <w:t>如夜間行車、冷起動頻率高</w:t>
      </w:r>
      <w:r w:rsidRPr="00BA76F4">
        <w:rPr>
          <w:rFonts w:eastAsia="新細明體"/>
          <w:sz w:val="20"/>
          <w:szCs w:val="20"/>
        </w:rPr>
        <w:t>)</w:t>
      </w:r>
      <w:r w:rsidRPr="00BA76F4">
        <w:rPr>
          <w:rFonts w:eastAsia="新細明體" w:hint="eastAsia"/>
          <w:sz w:val="20"/>
          <w:szCs w:val="20"/>
        </w:rPr>
        <w:t>，則應該可以考慮以加大體積加大電容量。</w:t>
      </w:r>
    </w:p>
    <w:p w:rsidR="00DA0D4E" w:rsidRPr="00BA76F4" w:rsidRDefault="00DA0D4E" w:rsidP="00332058">
      <w:pPr>
        <w:adjustRightInd w:val="0"/>
        <w:snapToGrid w:val="0"/>
        <w:spacing w:line="240" w:lineRule="auto"/>
        <w:ind w:firstLine="400"/>
        <w:jc w:val="both"/>
        <w:rPr>
          <w:rFonts w:eastAsia="新細明體"/>
          <w:sz w:val="20"/>
          <w:szCs w:val="20"/>
        </w:rPr>
      </w:pPr>
      <w:r w:rsidRPr="00BA76F4">
        <w:rPr>
          <w:rFonts w:eastAsia="新細明體" w:hint="eastAsia"/>
          <w:sz w:val="20"/>
          <w:szCs w:val="20"/>
        </w:rPr>
        <w:t>整體而言，雖然每個測定標準都有一個條件與數值，但就電瓶的實際性能表現客觀分析，會受其他因素諸如：環境溫度、濕度、設計或駕駛人用車習慣等影響，電瓶的實際性能是根據實際的使用狀況及環境而有所不同。因此，相關的測定結果通常僅作為車廠設計車輛時選定規格的參考、製定電瓶規範的依據及評定電瓶性能的等級。實務上選用正確規格的電瓶及透過正確的使用，才是</w:t>
      </w:r>
      <w:r>
        <w:rPr>
          <w:rFonts w:eastAsia="新細明體" w:hint="eastAsia"/>
          <w:sz w:val="20"/>
          <w:szCs w:val="20"/>
        </w:rPr>
        <w:t>要</w:t>
      </w:r>
      <w:r w:rsidRPr="00BA76F4">
        <w:rPr>
          <w:rFonts w:eastAsia="新細明體" w:hint="eastAsia"/>
          <w:sz w:val="20"/>
          <w:szCs w:val="20"/>
        </w:rPr>
        <w:t>注意之處。</w:t>
      </w:r>
    </w:p>
    <w:p w:rsidR="00DA0D4E" w:rsidRPr="00BA76F4" w:rsidRDefault="00DA0D4E" w:rsidP="00332058">
      <w:pPr>
        <w:adjustRightInd w:val="0"/>
        <w:snapToGrid w:val="0"/>
        <w:spacing w:line="240" w:lineRule="auto"/>
        <w:ind w:firstLine="400"/>
        <w:jc w:val="center"/>
        <w:rPr>
          <w:rFonts w:eastAsia="新細明體"/>
          <w:b/>
          <w:sz w:val="20"/>
          <w:szCs w:val="20"/>
        </w:rPr>
      </w:pPr>
      <w:r w:rsidRPr="00BA76F4">
        <w:rPr>
          <w:rFonts w:eastAsia="新細明體" w:hint="eastAsia"/>
          <w:b/>
          <w:sz w:val="20"/>
          <w:szCs w:val="20"/>
        </w:rPr>
        <w:t>研究動機</w:t>
      </w:r>
    </w:p>
    <w:p w:rsidR="00DA0D4E" w:rsidRPr="00BA76F4" w:rsidRDefault="00DA0D4E" w:rsidP="006643A8">
      <w:pPr>
        <w:widowControl/>
        <w:adjustRightInd w:val="0"/>
        <w:snapToGrid w:val="0"/>
        <w:spacing w:line="240" w:lineRule="auto"/>
        <w:ind w:firstLineChars="202" w:firstLine="404"/>
        <w:jc w:val="both"/>
        <w:rPr>
          <w:rFonts w:eastAsia="新細明體"/>
          <w:sz w:val="20"/>
          <w:szCs w:val="20"/>
        </w:rPr>
      </w:pPr>
      <w:r>
        <w:rPr>
          <w:rFonts w:eastAsia="新細明體" w:hint="eastAsia"/>
          <w:sz w:val="20"/>
          <w:szCs w:val="20"/>
        </w:rPr>
        <w:t>隨著使用</w:t>
      </w:r>
      <w:r w:rsidRPr="00BA76F4">
        <w:rPr>
          <w:rFonts w:eastAsia="新細明體" w:hint="eastAsia"/>
          <w:sz w:val="20"/>
          <w:szCs w:val="20"/>
        </w:rPr>
        <w:t>鉛酸電瓶</w:t>
      </w:r>
      <w:r>
        <w:rPr>
          <w:rFonts w:eastAsia="新細明體" w:hint="eastAsia"/>
          <w:sz w:val="20"/>
          <w:szCs w:val="20"/>
        </w:rPr>
        <w:t>後</w:t>
      </w:r>
      <w:r w:rsidRPr="00BA76F4">
        <w:rPr>
          <w:rFonts w:eastAsia="新細明體" w:hint="eastAsia"/>
          <w:sz w:val="20"/>
          <w:szCs w:val="20"/>
        </w:rPr>
        <w:t>所造成的汙染</w:t>
      </w:r>
      <w:r>
        <w:rPr>
          <w:rFonts w:eastAsia="新細明體" w:hint="eastAsia"/>
          <w:sz w:val="20"/>
          <w:szCs w:val="20"/>
        </w:rPr>
        <w:t>現象，已逐漸</w:t>
      </w:r>
      <w:r w:rsidRPr="00BA76F4">
        <w:rPr>
          <w:rFonts w:eastAsia="新細明體" w:hint="eastAsia"/>
          <w:sz w:val="20"/>
          <w:szCs w:val="20"/>
        </w:rPr>
        <w:t>被各國重視，</w:t>
      </w:r>
      <w:r w:rsidRPr="00BA76F4">
        <w:rPr>
          <w:rFonts w:eastAsia="新細明體"/>
          <w:sz w:val="20"/>
          <w:szCs w:val="20"/>
        </w:rPr>
        <w:t>2006</w:t>
      </w:r>
      <w:r w:rsidRPr="00BA76F4">
        <w:rPr>
          <w:rFonts w:eastAsia="新細明體" w:hint="eastAsia"/>
          <w:sz w:val="20"/>
          <w:szCs w:val="20"/>
        </w:rPr>
        <w:t>歐盟已開始規定鉛酸的再造率需達</w:t>
      </w:r>
      <w:r w:rsidRPr="00BA76F4">
        <w:rPr>
          <w:rFonts w:eastAsia="新細明體"/>
          <w:sz w:val="20"/>
          <w:szCs w:val="20"/>
        </w:rPr>
        <w:t>65%(2006</w:t>
      </w:r>
      <w:r w:rsidRPr="00BA76F4">
        <w:rPr>
          <w:rFonts w:eastAsia="新細明體" w:hint="eastAsia"/>
          <w:sz w:val="20"/>
          <w:szCs w:val="20"/>
        </w:rPr>
        <w:t>年</w:t>
      </w:r>
      <w:r w:rsidRPr="00BA76F4">
        <w:rPr>
          <w:rFonts w:eastAsia="新細明體" w:hint="eastAsia"/>
          <w:sz w:val="20"/>
          <w:szCs w:val="20"/>
          <w:u w:val="single"/>
        </w:rPr>
        <w:t>歐盟新指令</w:t>
      </w:r>
      <w:r w:rsidRPr="00BA76F4">
        <w:rPr>
          <w:rFonts w:eastAsia="新細明體"/>
          <w:sz w:val="20"/>
          <w:szCs w:val="20"/>
        </w:rPr>
        <w:t>)</w:t>
      </w:r>
      <w:r w:rsidRPr="00BA76F4">
        <w:rPr>
          <w:rFonts w:eastAsia="新細明體" w:hint="eastAsia"/>
          <w:sz w:val="20"/>
          <w:szCs w:val="20"/>
        </w:rPr>
        <w:t>，全球最大鉛酸電瓶的製造國中國大陸，在</w:t>
      </w:r>
      <w:r w:rsidRPr="00BA76F4">
        <w:rPr>
          <w:rFonts w:eastAsia="新細明體"/>
          <w:sz w:val="20"/>
          <w:szCs w:val="20"/>
        </w:rPr>
        <w:t>2011</w:t>
      </w:r>
      <w:r>
        <w:rPr>
          <w:rFonts w:eastAsia="新細明體" w:hint="eastAsia"/>
          <w:sz w:val="20"/>
          <w:szCs w:val="20"/>
        </w:rPr>
        <w:t>年開始取締並重罰違法的鉛酸製造商，故起而代之的便是鋰鐵電瓶</w:t>
      </w:r>
      <w:r w:rsidRPr="00BA76F4">
        <w:rPr>
          <w:rFonts w:eastAsia="新細明體" w:hint="eastAsia"/>
          <w:sz w:val="20"/>
          <w:szCs w:val="20"/>
        </w:rPr>
        <w:t>。</w:t>
      </w:r>
      <w:r>
        <w:rPr>
          <w:rFonts w:eastAsia="新細明體" w:hint="eastAsia"/>
          <w:sz w:val="20"/>
          <w:szCs w:val="20"/>
        </w:rPr>
        <w:t>在使用的條件與環境上，車輛使用之電瓶容量隨著使用次數與時間及車上</w:t>
      </w:r>
      <w:r w:rsidRPr="00BA76F4">
        <w:rPr>
          <w:rFonts w:eastAsia="新細明體" w:hint="eastAsia"/>
          <w:sz w:val="20"/>
          <w:szCs w:val="20"/>
        </w:rPr>
        <w:t>越來越多</w:t>
      </w:r>
      <w:r>
        <w:rPr>
          <w:rFonts w:eastAsia="新細明體" w:hint="eastAsia"/>
          <w:sz w:val="20"/>
          <w:szCs w:val="20"/>
        </w:rPr>
        <w:t>車載資訊科技</w:t>
      </w:r>
      <w:r w:rsidRPr="00BA76F4">
        <w:rPr>
          <w:rFonts w:eastAsia="新細明體" w:hint="eastAsia"/>
          <w:sz w:val="20"/>
          <w:szCs w:val="20"/>
        </w:rPr>
        <w:t>的電子產品</w:t>
      </w:r>
      <w:r>
        <w:rPr>
          <w:rFonts w:eastAsia="新細明體" w:hint="eastAsia"/>
          <w:sz w:val="20"/>
          <w:szCs w:val="20"/>
        </w:rPr>
        <w:t>，促使各廠商欲了解不同材料對電瓶的影響為何？就交通環境而言，</w:t>
      </w:r>
      <w:r w:rsidRPr="00BA76F4">
        <w:rPr>
          <w:rFonts w:eastAsia="新細明體" w:hint="eastAsia"/>
          <w:sz w:val="20"/>
          <w:szCs w:val="20"/>
        </w:rPr>
        <w:t>現今各國車輛皆在都市居多，在都市的車輛皆走走停停而造成電瓶充電不足使電瓶容量衰減</w:t>
      </w:r>
      <w:r>
        <w:rPr>
          <w:rFonts w:eastAsia="新細明體" w:hint="eastAsia"/>
          <w:sz w:val="20"/>
          <w:szCs w:val="20"/>
        </w:rPr>
        <w:t>，</w:t>
      </w:r>
      <w:r w:rsidRPr="00BA76F4">
        <w:rPr>
          <w:rFonts w:eastAsia="新細明體" w:hint="eastAsia"/>
          <w:sz w:val="20"/>
          <w:szCs w:val="20"/>
        </w:rPr>
        <w:t>不僅影響電瓶本身之使用時間</w:t>
      </w:r>
      <w:r>
        <w:rPr>
          <w:rFonts w:eastAsia="新細明體" w:hint="eastAsia"/>
          <w:sz w:val="20"/>
          <w:szCs w:val="20"/>
        </w:rPr>
        <w:t>，</w:t>
      </w:r>
      <w:r w:rsidRPr="00BA76F4">
        <w:rPr>
          <w:rFonts w:eastAsia="新細明體" w:hint="eastAsia"/>
          <w:sz w:val="20"/>
          <w:szCs w:val="20"/>
        </w:rPr>
        <w:t>更影響電瓶及其相關系統之運作，</w:t>
      </w:r>
      <w:r>
        <w:rPr>
          <w:rFonts w:eastAsia="新細明體" w:hint="eastAsia"/>
          <w:sz w:val="20"/>
          <w:szCs w:val="20"/>
        </w:rPr>
        <w:t>換言之，電瓶的充電與放電管理方式，又變成一項新課題。</w:t>
      </w:r>
      <w:r w:rsidRPr="00BA76F4">
        <w:rPr>
          <w:rFonts w:eastAsia="新細明體" w:hint="eastAsia"/>
          <w:sz w:val="20"/>
          <w:szCs w:val="20"/>
        </w:rPr>
        <w:t>如圖</w:t>
      </w:r>
      <w:r w:rsidRPr="00BA76F4">
        <w:rPr>
          <w:rFonts w:eastAsia="新細明體"/>
          <w:sz w:val="20"/>
          <w:szCs w:val="20"/>
        </w:rPr>
        <w:t>1</w:t>
      </w:r>
      <w:r w:rsidRPr="00BA76F4">
        <w:rPr>
          <w:rFonts w:eastAsia="新細明體" w:hint="eastAsia"/>
          <w:sz w:val="20"/>
          <w:szCs w:val="20"/>
        </w:rPr>
        <w:t>；為了延長鉛酸電瓶的壽命，許多的研究針對充電方式加以探討如</w:t>
      </w:r>
      <w:r w:rsidRPr="00BA76F4">
        <w:rPr>
          <w:rFonts w:eastAsia="新細明體"/>
          <w:sz w:val="20"/>
          <w:szCs w:val="20"/>
        </w:rPr>
        <w:t>:</w:t>
      </w:r>
      <w:r w:rsidRPr="00BA76F4">
        <w:rPr>
          <w:rFonts w:eastAsia="新細明體" w:hint="eastAsia"/>
          <w:sz w:val="20"/>
          <w:szCs w:val="20"/>
        </w:rPr>
        <w:t>定電流</w:t>
      </w:r>
      <w:r w:rsidRPr="00BA76F4">
        <w:rPr>
          <w:rFonts w:eastAsia="新細明體"/>
          <w:sz w:val="20"/>
          <w:szCs w:val="20"/>
        </w:rPr>
        <w:t>(Constant Current</w:t>
      </w:r>
      <w:r w:rsidRPr="00BA76F4">
        <w:rPr>
          <w:rFonts w:eastAsia="新細明體" w:hint="eastAsia"/>
          <w:sz w:val="20"/>
          <w:szCs w:val="20"/>
        </w:rPr>
        <w:t>，</w:t>
      </w:r>
      <w:r w:rsidRPr="00BA76F4">
        <w:rPr>
          <w:rFonts w:eastAsia="新細明體"/>
          <w:sz w:val="20"/>
          <w:szCs w:val="20"/>
        </w:rPr>
        <w:t>C.C.)</w:t>
      </w:r>
      <w:r w:rsidRPr="00BA76F4">
        <w:rPr>
          <w:rFonts w:eastAsia="新細明體" w:hint="eastAsia"/>
          <w:sz w:val="20"/>
          <w:szCs w:val="20"/>
        </w:rPr>
        <w:t>充電法、定電壓</w:t>
      </w:r>
      <w:r w:rsidRPr="00BA76F4">
        <w:rPr>
          <w:rFonts w:eastAsia="新細明體"/>
          <w:sz w:val="20"/>
          <w:szCs w:val="20"/>
        </w:rPr>
        <w:t>(Constant Voltage</w:t>
      </w:r>
      <w:r w:rsidRPr="00BA76F4">
        <w:rPr>
          <w:rFonts w:eastAsia="新細明體" w:hint="eastAsia"/>
          <w:sz w:val="20"/>
          <w:szCs w:val="20"/>
        </w:rPr>
        <w:t>，</w:t>
      </w:r>
      <w:r w:rsidRPr="00BA76F4">
        <w:rPr>
          <w:rFonts w:eastAsia="新細明體"/>
          <w:sz w:val="20"/>
          <w:szCs w:val="20"/>
        </w:rPr>
        <w:t>C.V.)</w:t>
      </w:r>
      <w:r w:rsidRPr="00BA76F4">
        <w:rPr>
          <w:rFonts w:eastAsia="新細明體" w:hint="eastAsia"/>
          <w:sz w:val="20"/>
          <w:szCs w:val="20"/>
        </w:rPr>
        <w:t>充電法、混合型</w:t>
      </w:r>
      <w:r w:rsidRPr="00BA76F4">
        <w:rPr>
          <w:rFonts w:eastAsia="新細明體"/>
          <w:sz w:val="20"/>
          <w:szCs w:val="20"/>
        </w:rPr>
        <w:t>(C.C./C.V.)</w:t>
      </w:r>
      <w:r w:rsidRPr="00BA76F4">
        <w:rPr>
          <w:rFonts w:eastAsia="新細明體" w:hint="eastAsia"/>
          <w:sz w:val="20"/>
          <w:szCs w:val="20"/>
        </w:rPr>
        <w:t>充電法、脈衝充電法</w:t>
      </w:r>
      <w:r w:rsidRPr="00BA76F4">
        <w:rPr>
          <w:rFonts w:eastAsia="新細明體"/>
          <w:sz w:val="20"/>
          <w:szCs w:val="20"/>
        </w:rPr>
        <w:t>(Pulse Charging)</w:t>
      </w:r>
      <w:r w:rsidRPr="00BA76F4">
        <w:rPr>
          <w:rFonts w:eastAsia="新細明體" w:hint="eastAsia"/>
          <w:sz w:val="20"/>
          <w:szCs w:val="20"/>
        </w:rPr>
        <w:t>、正負脈衝充電法</w:t>
      </w:r>
      <w:r w:rsidRPr="00BA76F4">
        <w:rPr>
          <w:rFonts w:eastAsia="新細明體"/>
          <w:sz w:val="20"/>
          <w:szCs w:val="20"/>
        </w:rPr>
        <w:t>(</w:t>
      </w:r>
      <w:proofErr w:type="spellStart"/>
      <w:r w:rsidRPr="00BA76F4">
        <w:rPr>
          <w:rFonts w:eastAsia="新細明體"/>
          <w:bCs/>
          <w:sz w:val="20"/>
          <w:szCs w:val="20"/>
        </w:rPr>
        <w:t>Reflex</w:t>
      </w:r>
      <w:r w:rsidRPr="00BA76F4">
        <w:rPr>
          <w:rFonts w:eastAsia="新細明體"/>
          <w:bCs/>
          <w:sz w:val="20"/>
          <w:szCs w:val="20"/>
          <w:vertAlign w:val="superscript"/>
        </w:rPr>
        <w:t>TM</w:t>
      </w:r>
      <w:proofErr w:type="spellEnd"/>
      <w:r w:rsidRPr="00BA76F4">
        <w:rPr>
          <w:rFonts w:eastAsia="新細明體"/>
          <w:b/>
          <w:bCs/>
          <w:sz w:val="20"/>
          <w:szCs w:val="20"/>
        </w:rPr>
        <w:t xml:space="preserve"> </w:t>
      </w:r>
      <w:r w:rsidRPr="00BA76F4">
        <w:rPr>
          <w:rFonts w:eastAsia="新細明體"/>
          <w:sz w:val="20"/>
          <w:szCs w:val="20"/>
        </w:rPr>
        <w:t>Charging)</w:t>
      </w:r>
      <w:r w:rsidRPr="00BA76F4">
        <w:rPr>
          <w:rFonts w:eastAsia="新細明體" w:hint="eastAsia"/>
          <w:sz w:val="20"/>
          <w:szCs w:val="20"/>
        </w:rPr>
        <w:t>；上述各種方法皆是配合充電機靜態充電使用，然而在車上的啟動行電瓶皆是由發電機直接充電，兩者之間有甚大的差異，目前使用中的車輛發電機大都使用電壓控制式，發電機會不斷地對電瓶充電，其對電瓶壽命的影響與效率甚少探討。</w:t>
      </w:r>
    </w:p>
    <w:p w:rsidR="00DA0D4E" w:rsidRDefault="00DA207F" w:rsidP="00332058">
      <w:pPr>
        <w:spacing w:line="240" w:lineRule="auto"/>
        <w:ind w:firstLineChars="0" w:firstLine="0"/>
        <w:jc w:val="center"/>
        <w:rPr>
          <w:rFonts w:ascii="新細明體" w:eastAsia="新細明體" w:hAnsi="新細明體"/>
          <w:sz w:val="20"/>
          <w:szCs w:val="20"/>
        </w:rPr>
      </w:pPr>
      <w:r>
        <w:rPr>
          <w:rFonts w:ascii="新細明體" w:eastAsia="新細明體" w:hAnsi="新細明體"/>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1.5pt;height:250.5pt">
            <v:imagedata r:id="rId9" o:title=""/>
          </v:shape>
        </w:pict>
      </w:r>
    </w:p>
    <w:p w:rsidR="00DA0D4E" w:rsidRDefault="00DA0D4E" w:rsidP="00332058">
      <w:pPr>
        <w:spacing w:line="240" w:lineRule="auto"/>
        <w:ind w:firstLineChars="0" w:firstLine="0"/>
        <w:jc w:val="center"/>
        <w:rPr>
          <w:rFonts w:ascii="新細明體" w:eastAsia="新細明體" w:hAnsi="新細明體"/>
          <w:sz w:val="20"/>
          <w:szCs w:val="20"/>
        </w:rPr>
      </w:pPr>
      <w:r>
        <w:rPr>
          <w:rFonts w:ascii="新細明體" w:eastAsia="新細明體" w:hAnsi="新細明體" w:hint="eastAsia"/>
          <w:sz w:val="20"/>
          <w:szCs w:val="20"/>
        </w:rPr>
        <w:t>圖</w:t>
      </w:r>
      <w:r>
        <w:rPr>
          <w:rFonts w:ascii="新細明體" w:eastAsia="新細明體" w:hAnsi="新細明體"/>
          <w:sz w:val="20"/>
          <w:szCs w:val="20"/>
        </w:rPr>
        <w:t xml:space="preserve">1 </w:t>
      </w:r>
      <w:r>
        <w:rPr>
          <w:rFonts w:ascii="新細明體" w:eastAsia="新細明體" w:hAnsi="新細明體" w:hint="eastAsia"/>
          <w:sz w:val="20"/>
          <w:szCs w:val="20"/>
        </w:rPr>
        <w:t>使用壽命循環</w:t>
      </w:r>
    </w:p>
    <w:p w:rsidR="00DA0D4E" w:rsidRPr="00BA76F4" w:rsidRDefault="00DA0D4E" w:rsidP="00332058">
      <w:pPr>
        <w:tabs>
          <w:tab w:val="left" w:pos="3570"/>
        </w:tabs>
        <w:adjustRightInd w:val="0"/>
        <w:snapToGrid w:val="0"/>
        <w:spacing w:line="240" w:lineRule="auto"/>
        <w:ind w:firstLine="400"/>
        <w:jc w:val="center"/>
        <w:rPr>
          <w:rFonts w:eastAsia="新細明體"/>
          <w:sz w:val="20"/>
          <w:szCs w:val="20"/>
        </w:rPr>
      </w:pPr>
      <w:r w:rsidRPr="00BA76F4">
        <w:rPr>
          <w:rFonts w:eastAsia="新細明體" w:hint="eastAsia"/>
          <w:sz w:val="20"/>
          <w:szCs w:val="20"/>
        </w:rPr>
        <w:t>資料來源</w:t>
      </w:r>
      <w:r w:rsidRPr="00BA76F4">
        <w:rPr>
          <w:rFonts w:eastAsia="新細明體"/>
          <w:sz w:val="20"/>
          <w:szCs w:val="20"/>
        </w:rPr>
        <w:t xml:space="preserve">: </w:t>
      </w:r>
      <w:hyperlink r:id="rId10" w:history="1">
        <w:r w:rsidRPr="00BA76F4">
          <w:rPr>
            <w:rStyle w:val="a9"/>
            <w:rFonts w:eastAsia="新細明體"/>
            <w:sz w:val="20"/>
            <w:szCs w:val="20"/>
          </w:rPr>
          <w:t>http://www.csb-battery.com/index_ch.php</w:t>
        </w:r>
      </w:hyperlink>
    </w:p>
    <w:p w:rsidR="00DA0D4E" w:rsidRPr="00BA76F4" w:rsidRDefault="00DA0D4E" w:rsidP="00332058">
      <w:pPr>
        <w:tabs>
          <w:tab w:val="left" w:pos="3570"/>
        </w:tabs>
        <w:adjustRightInd w:val="0"/>
        <w:snapToGrid w:val="0"/>
        <w:spacing w:line="240" w:lineRule="auto"/>
        <w:ind w:firstLine="400"/>
        <w:jc w:val="center"/>
        <w:rPr>
          <w:rFonts w:eastAsia="新細明體"/>
          <w:b/>
          <w:sz w:val="20"/>
          <w:szCs w:val="20"/>
        </w:rPr>
      </w:pPr>
      <w:r w:rsidRPr="00BA76F4">
        <w:rPr>
          <w:rFonts w:eastAsia="新細明體" w:hint="eastAsia"/>
          <w:b/>
          <w:sz w:val="20"/>
          <w:szCs w:val="20"/>
        </w:rPr>
        <w:lastRenderedPageBreak/>
        <w:t>研究目的</w:t>
      </w:r>
    </w:p>
    <w:p w:rsidR="00DA0D4E" w:rsidRPr="00BA76F4" w:rsidRDefault="00DA0D4E" w:rsidP="00332058">
      <w:pPr>
        <w:adjustRightInd w:val="0"/>
        <w:snapToGrid w:val="0"/>
        <w:spacing w:line="240" w:lineRule="auto"/>
        <w:ind w:firstLineChars="202" w:firstLine="404"/>
        <w:jc w:val="both"/>
        <w:rPr>
          <w:rFonts w:eastAsia="新細明體"/>
          <w:sz w:val="20"/>
          <w:szCs w:val="20"/>
        </w:rPr>
      </w:pPr>
      <w:r w:rsidRPr="00BA76F4">
        <w:rPr>
          <w:rFonts w:eastAsia="新細明體" w:hint="eastAsia"/>
          <w:sz w:val="20"/>
          <w:szCs w:val="20"/>
        </w:rPr>
        <w:t>本研究旨在探討鉛酸電瓶與鋰鐵電瓶對於汽油引擎車輛之影響，因此在同一部車輛上分別安裝鋰鐵電瓶與與鉛酸電瓶進行實驗，分析探討下列幾點</w:t>
      </w:r>
      <w:r w:rsidRPr="00BA76F4">
        <w:rPr>
          <w:rFonts w:eastAsia="新細明體"/>
          <w:sz w:val="20"/>
          <w:szCs w:val="20"/>
        </w:rPr>
        <w:t>:</w:t>
      </w:r>
    </w:p>
    <w:p w:rsidR="00DA0D4E" w:rsidRPr="00BA76F4" w:rsidRDefault="00DA0D4E" w:rsidP="00332058">
      <w:pPr>
        <w:pStyle w:val="aa"/>
        <w:numPr>
          <w:ilvl w:val="0"/>
          <w:numId w:val="1"/>
        </w:numPr>
        <w:adjustRightInd w:val="0"/>
        <w:snapToGrid w:val="0"/>
        <w:spacing w:line="240" w:lineRule="auto"/>
        <w:ind w:leftChars="0" w:firstLineChars="0"/>
        <w:jc w:val="both"/>
        <w:rPr>
          <w:rFonts w:eastAsia="新細明體"/>
          <w:sz w:val="20"/>
        </w:rPr>
      </w:pPr>
      <w:r w:rsidRPr="00BA76F4">
        <w:rPr>
          <w:rFonts w:eastAsia="新細明體" w:hint="eastAsia"/>
          <w:sz w:val="20"/>
        </w:rPr>
        <w:t>了解鉛酸電瓶與鋰鐵電瓶對汽油引擎起動性能之影響。</w:t>
      </w:r>
    </w:p>
    <w:p w:rsidR="00DA0D4E" w:rsidRPr="00BA76F4" w:rsidRDefault="00DA0D4E" w:rsidP="00332058">
      <w:pPr>
        <w:pStyle w:val="aa"/>
        <w:numPr>
          <w:ilvl w:val="0"/>
          <w:numId w:val="1"/>
        </w:numPr>
        <w:adjustRightInd w:val="0"/>
        <w:snapToGrid w:val="0"/>
        <w:spacing w:line="240" w:lineRule="auto"/>
        <w:ind w:leftChars="0" w:firstLineChars="0"/>
        <w:jc w:val="both"/>
        <w:rPr>
          <w:rFonts w:eastAsia="新細明體"/>
          <w:sz w:val="20"/>
        </w:rPr>
      </w:pPr>
      <w:r w:rsidRPr="00BA76F4">
        <w:rPr>
          <w:rFonts w:eastAsia="新細明體" w:hint="eastAsia"/>
          <w:sz w:val="20"/>
        </w:rPr>
        <w:t>探討鉛酸電瓶與鋰鐵電瓶對汽油引擎點火性能與波形之差異。</w:t>
      </w:r>
    </w:p>
    <w:p w:rsidR="00DA0D4E" w:rsidRPr="00BA76F4" w:rsidRDefault="00DA0D4E" w:rsidP="00332058">
      <w:pPr>
        <w:pStyle w:val="aa"/>
        <w:numPr>
          <w:ilvl w:val="0"/>
          <w:numId w:val="1"/>
        </w:numPr>
        <w:adjustRightInd w:val="0"/>
        <w:snapToGrid w:val="0"/>
        <w:spacing w:line="240" w:lineRule="auto"/>
        <w:ind w:leftChars="0" w:firstLineChars="0"/>
        <w:jc w:val="both"/>
        <w:rPr>
          <w:rFonts w:eastAsia="新細明體"/>
          <w:sz w:val="20"/>
        </w:rPr>
      </w:pPr>
      <w:r w:rsidRPr="00BA76F4">
        <w:rPr>
          <w:rFonts w:eastAsia="新細明體" w:hint="eastAsia"/>
          <w:sz w:val="20"/>
        </w:rPr>
        <w:t>分析鉛酸電瓶與鋰鐵電瓶對汽油引擎充電系統性能之影響。</w:t>
      </w:r>
    </w:p>
    <w:p w:rsidR="00DA0D4E" w:rsidRPr="00BA76F4" w:rsidRDefault="00DA0D4E" w:rsidP="00332058">
      <w:pPr>
        <w:pStyle w:val="aa"/>
        <w:adjustRightInd w:val="0"/>
        <w:snapToGrid w:val="0"/>
        <w:spacing w:line="240" w:lineRule="auto"/>
        <w:ind w:leftChars="0" w:firstLineChars="0" w:firstLine="0"/>
        <w:jc w:val="center"/>
        <w:rPr>
          <w:rFonts w:eastAsia="新細明體"/>
          <w:b/>
          <w:sz w:val="20"/>
        </w:rPr>
      </w:pPr>
      <w:r w:rsidRPr="00BA76F4">
        <w:rPr>
          <w:rFonts w:eastAsia="新細明體" w:hint="eastAsia"/>
          <w:b/>
          <w:sz w:val="20"/>
        </w:rPr>
        <w:t>研究限制</w:t>
      </w:r>
    </w:p>
    <w:p w:rsidR="00DA0D4E" w:rsidRPr="00BA76F4" w:rsidRDefault="00DA0D4E" w:rsidP="00332058">
      <w:pPr>
        <w:numPr>
          <w:ilvl w:val="0"/>
          <w:numId w:val="2"/>
        </w:numPr>
        <w:adjustRightInd w:val="0"/>
        <w:snapToGrid w:val="0"/>
        <w:spacing w:line="240" w:lineRule="auto"/>
        <w:ind w:firstLineChars="0"/>
        <w:jc w:val="both"/>
        <w:rPr>
          <w:rFonts w:eastAsia="新細明體"/>
          <w:sz w:val="20"/>
          <w:szCs w:val="20"/>
        </w:rPr>
      </w:pPr>
      <w:r w:rsidRPr="00BA76F4">
        <w:rPr>
          <w:rFonts w:eastAsia="新細明體" w:hint="eastAsia"/>
          <w:sz w:val="20"/>
          <w:szCs w:val="20"/>
        </w:rPr>
        <w:t>本研究利用實驗方法，採用目前市占率高之車輛，並採用國產</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1800c</w:t>
        </w:r>
      </w:smartTag>
      <w:r w:rsidRPr="00BA76F4">
        <w:rPr>
          <w:rFonts w:eastAsia="新細明體"/>
          <w:sz w:val="20"/>
          <w:szCs w:val="20"/>
        </w:rPr>
        <w:t>c</w:t>
      </w:r>
      <w:r w:rsidRPr="00BA76F4">
        <w:rPr>
          <w:rFonts w:eastAsia="新細明體" w:hint="eastAsia"/>
          <w:sz w:val="20"/>
          <w:szCs w:val="20"/>
        </w:rPr>
        <w:t>汽油引擎為實驗設備，在不改變原廠的設計下，分別安裝鉛酸電瓶及鋰鐵電瓶來進行實驗比較。</w:t>
      </w:r>
    </w:p>
    <w:p w:rsidR="00DA0D4E" w:rsidRPr="00BA76F4" w:rsidRDefault="00DA0D4E" w:rsidP="00332058">
      <w:pPr>
        <w:numPr>
          <w:ilvl w:val="0"/>
          <w:numId w:val="2"/>
        </w:numPr>
        <w:adjustRightInd w:val="0"/>
        <w:snapToGrid w:val="0"/>
        <w:spacing w:line="240" w:lineRule="auto"/>
        <w:ind w:firstLineChars="0"/>
        <w:jc w:val="both"/>
        <w:rPr>
          <w:rFonts w:eastAsia="新細明體"/>
          <w:color w:val="FF0000"/>
          <w:sz w:val="20"/>
          <w:szCs w:val="20"/>
        </w:rPr>
      </w:pPr>
      <w:r w:rsidRPr="00BA76F4">
        <w:rPr>
          <w:rFonts w:eastAsia="新細明體" w:hint="eastAsia"/>
          <w:sz w:val="20"/>
          <w:szCs w:val="20"/>
        </w:rPr>
        <w:t>因各類品牌眾多，型式繁雜，且鋰鐵電瓶互有差異，本研究所採用的電瓶為湯淺</w:t>
      </w:r>
      <w:r w:rsidRPr="00BA76F4">
        <w:rPr>
          <w:rFonts w:eastAsia="新細明體"/>
          <w:sz w:val="20"/>
          <w:szCs w:val="20"/>
        </w:rPr>
        <w:t>55D</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23L</w:t>
        </w:r>
      </w:smartTag>
      <w:r w:rsidRPr="00BA76F4">
        <w:rPr>
          <w:rFonts w:eastAsia="新細明體" w:hint="eastAsia"/>
          <w:sz w:val="20"/>
          <w:szCs w:val="20"/>
        </w:rPr>
        <w:t>鉛酸電瓶及台塑</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36A</w:t>
        </w:r>
      </w:smartTag>
      <w:r w:rsidRPr="00BA76F4">
        <w:rPr>
          <w:rFonts w:eastAsia="新細明體"/>
          <w:sz w:val="20"/>
          <w:szCs w:val="20"/>
        </w:rPr>
        <w:t xml:space="preserve">H </w:t>
      </w:r>
      <w:r w:rsidRPr="00BA76F4">
        <w:rPr>
          <w:rFonts w:eastAsia="新細明體" w:hint="eastAsia"/>
          <w:sz w:val="20"/>
          <w:szCs w:val="20"/>
        </w:rPr>
        <w:t>鋰鐵電瓶。</w:t>
      </w:r>
    </w:p>
    <w:p w:rsidR="00DA0D4E" w:rsidRPr="00BA76F4" w:rsidRDefault="00DA0D4E" w:rsidP="00332058">
      <w:pPr>
        <w:numPr>
          <w:ilvl w:val="0"/>
          <w:numId w:val="2"/>
        </w:numPr>
        <w:adjustRightInd w:val="0"/>
        <w:snapToGrid w:val="0"/>
        <w:spacing w:line="240" w:lineRule="auto"/>
        <w:ind w:firstLineChars="0"/>
        <w:jc w:val="both"/>
        <w:rPr>
          <w:rFonts w:eastAsia="新細明體"/>
          <w:color w:val="FF0000"/>
          <w:sz w:val="20"/>
          <w:szCs w:val="20"/>
        </w:rPr>
      </w:pPr>
      <w:r>
        <w:rPr>
          <w:rFonts w:eastAsia="新細明體" w:hint="eastAsia"/>
          <w:sz w:val="20"/>
          <w:szCs w:val="20"/>
        </w:rPr>
        <w:t>實驗時</w:t>
      </w:r>
      <w:r w:rsidRPr="00BA76F4">
        <w:rPr>
          <w:rFonts w:eastAsia="新細明體" w:hint="eastAsia"/>
          <w:sz w:val="20"/>
          <w:szCs w:val="20"/>
        </w:rPr>
        <w:t>為避免實驗差異，實驗過程皆由同一人操作，電瓶負載紀錄為避免時間差，皆使用碼表計時。</w:t>
      </w:r>
    </w:p>
    <w:p w:rsidR="00DA0D4E" w:rsidRPr="00BA76F4" w:rsidRDefault="00DA0D4E" w:rsidP="00332058">
      <w:pPr>
        <w:pStyle w:val="aa"/>
        <w:adjustRightInd w:val="0"/>
        <w:snapToGrid w:val="0"/>
        <w:spacing w:line="240" w:lineRule="auto"/>
        <w:ind w:leftChars="0" w:firstLineChars="0" w:firstLine="0"/>
        <w:jc w:val="center"/>
        <w:rPr>
          <w:rFonts w:eastAsia="新細明體"/>
          <w:b/>
          <w:sz w:val="20"/>
        </w:rPr>
      </w:pPr>
      <w:r w:rsidRPr="00BA76F4">
        <w:rPr>
          <w:rFonts w:eastAsia="新細明體" w:hint="eastAsia"/>
          <w:b/>
          <w:sz w:val="20"/>
        </w:rPr>
        <w:t>研究內容與方法</w:t>
      </w:r>
    </w:p>
    <w:p w:rsidR="00DA0D4E" w:rsidRPr="00BA76F4" w:rsidRDefault="00DA0D4E" w:rsidP="00332058">
      <w:pPr>
        <w:adjustRightInd w:val="0"/>
        <w:snapToGrid w:val="0"/>
        <w:spacing w:line="240" w:lineRule="auto"/>
        <w:ind w:firstLine="400"/>
        <w:jc w:val="both"/>
        <w:rPr>
          <w:rFonts w:eastAsia="新細明體"/>
          <w:sz w:val="20"/>
          <w:szCs w:val="20"/>
        </w:rPr>
      </w:pPr>
      <w:r w:rsidRPr="00BA76F4">
        <w:rPr>
          <w:rFonts w:eastAsia="新細明體" w:hint="eastAsia"/>
          <w:sz w:val="20"/>
          <w:szCs w:val="20"/>
        </w:rPr>
        <w:t>本論文實驗對照組為鉛酸電瓶，實驗組為鋰鐵電瓶，實驗包括起動電壓測試、點火線圈二次波形、實車電瓶放電充電，為求實驗的一致性，本研究中所使用的電瓶皆為同一年份生產的新電瓶。</w:t>
      </w:r>
    </w:p>
    <w:p w:rsidR="00DA0D4E" w:rsidRPr="00BA76F4" w:rsidRDefault="00DA0D4E" w:rsidP="00332058">
      <w:pPr>
        <w:adjustRightInd w:val="0"/>
        <w:snapToGrid w:val="0"/>
        <w:spacing w:line="240" w:lineRule="auto"/>
        <w:ind w:firstLineChars="0" w:firstLine="0"/>
        <w:rPr>
          <w:rFonts w:eastAsia="新細明體"/>
          <w:b/>
          <w:sz w:val="20"/>
          <w:szCs w:val="20"/>
        </w:rPr>
      </w:pPr>
      <w:r w:rsidRPr="00BA76F4">
        <w:rPr>
          <w:rFonts w:eastAsia="新細明體" w:hint="eastAsia"/>
          <w:b/>
          <w:sz w:val="20"/>
          <w:szCs w:val="20"/>
        </w:rPr>
        <w:t>實車充電測試</w:t>
      </w:r>
    </w:p>
    <w:p w:rsidR="00DA0D4E" w:rsidRPr="00BA76F4" w:rsidRDefault="00DA0D4E" w:rsidP="00332058">
      <w:pPr>
        <w:adjustRightInd w:val="0"/>
        <w:snapToGrid w:val="0"/>
        <w:spacing w:line="240" w:lineRule="auto"/>
        <w:ind w:firstLineChars="202" w:firstLine="404"/>
        <w:jc w:val="both"/>
        <w:rPr>
          <w:rFonts w:eastAsia="新細明體"/>
          <w:sz w:val="20"/>
          <w:szCs w:val="20"/>
        </w:rPr>
      </w:pPr>
      <w:r w:rsidRPr="00BA76F4">
        <w:rPr>
          <w:rFonts w:eastAsia="新細明體" w:hint="eastAsia"/>
          <w:sz w:val="20"/>
          <w:szCs w:val="20"/>
        </w:rPr>
        <w:t>本項測試是模擬電瓶效率，分別將鉛酸電瓶與鋰鐵電瓶，安裝於車上，並使用車上的負載對電瓶放電，來測試發電機對電瓶的安培小時效率</w:t>
      </w:r>
      <w:r w:rsidRPr="00BA76F4">
        <w:rPr>
          <w:rFonts w:eastAsia="新細明體"/>
          <w:sz w:val="20"/>
          <w:szCs w:val="20"/>
        </w:rPr>
        <w:t>(Ampere-hour Degree of Efficiency)</w:t>
      </w:r>
      <w:r w:rsidRPr="00BA76F4">
        <w:rPr>
          <w:rFonts w:eastAsia="新細明體" w:hint="eastAsia"/>
          <w:sz w:val="20"/>
          <w:szCs w:val="20"/>
        </w:rPr>
        <w:t>，計算公式為</w:t>
      </w:r>
      <w:r w:rsidRPr="00BA76F4">
        <w:rPr>
          <w:rFonts w:eastAsia="新細明體"/>
          <w:sz w:val="20"/>
          <w:szCs w:val="20"/>
        </w:rPr>
        <w:t>:</w:t>
      </w:r>
    </w:p>
    <w:p w:rsidR="00DA0D4E" w:rsidRPr="00BA76F4" w:rsidRDefault="00DA0D4E" w:rsidP="00332058">
      <w:pPr>
        <w:adjustRightInd w:val="0"/>
        <w:snapToGrid w:val="0"/>
        <w:spacing w:line="240" w:lineRule="auto"/>
        <w:ind w:firstLineChars="202" w:firstLine="404"/>
        <w:jc w:val="both"/>
        <w:rPr>
          <w:rFonts w:eastAsia="新細明體"/>
          <w:sz w:val="20"/>
          <w:szCs w:val="20"/>
        </w:rPr>
      </w:pPr>
    </w:p>
    <w:p w:rsidR="00DA0D4E" w:rsidRPr="00BA76F4" w:rsidRDefault="00512759" w:rsidP="00DA207F">
      <w:pPr>
        <w:adjustRightInd w:val="0"/>
        <w:snapToGrid w:val="0"/>
        <w:spacing w:beforeLines="50" w:before="180" w:afterLines="50" w:after="180" w:line="240" w:lineRule="auto"/>
        <w:ind w:firstLineChars="0" w:firstLine="0"/>
        <w:jc w:val="both"/>
        <w:rPr>
          <w:rFonts w:eastAsia="新細明體"/>
          <w:sz w:val="20"/>
          <w:szCs w:val="20"/>
        </w:rPr>
      </w:pPr>
      <w:r>
        <w:rPr>
          <w:noProof/>
        </w:rPr>
        <w:pict>
          <v:shape id="圖片 2" o:spid="_x0000_i1026" type="#_x0000_t75" style="width:123pt;height:36pt;visibility:visible">
            <v:imagedata r:id="rId11" o:title=""/>
          </v:shape>
        </w:pict>
      </w:r>
      <w:r w:rsidR="00DA0D4E" w:rsidRPr="00BA76F4">
        <w:rPr>
          <w:rFonts w:eastAsia="新細明體"/>
          <w:b/>
          <w:sz w:val="20"/>
          <w:szCs w:val="20"/>
        </w:rPr>
        <w:fldChar w:fldCharType="begin"/>
      </w:r>
      <w:r w:rsidR="00DA0D4E" w:rsidRPr="00BA76F4">
        <w:rPr>
          <w:rFonts w:eastAsia="新細明體"/>
          <w:b/>
          <w:sz w:val="20"/>
          <w:szCs w:val="20"/>
        </w:rPr>
        <w:instrText xml:space="preserve"> QUOTE </w:instrText>
      </w:r>
      <w:r>
        <w:rPr>
          <w:position w:val="-11"/>
        </w:rPr>
        <w:pict>
          <v:shape id="_x0000_i1027" type="#_x0000_t75" style="width:82.5pt;height:27.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bordersDontSurroundHeader/&gt;&lt;w:bordersDontSurroundFooter/&gt;&lt;w:defaultTabStop w:val=&quot;480&quot;/&gt;&lt;w:displayHorizontalDrawingGridEvery w:val=&quot;0&quot;/&gt;&lt;w:displayVerticalDrawingGridEvery w:val=&quot;2&quot;/&gt;&lt;w:punctuationKerning/&gt;&lt;w:characterSpacingControl w:val=&quot;CompressPunctuation&quot;/&gt;&lt;w:noLineBreaksAfter w:lang=&quot;ZH-TW&quot; w:val=&quot;([{瞿瞼?萸葭儭瘀號儭鳴蜇儭選?儮?儮?嚗?&quot;/&gt;&lt;w:noLineBreaksBefore w:lang=&quot;ZH-TW&quot; w:val=&quot;!),.:;?]}瞽繚?Ｔ乒色把聆?萼儭梧董儭湛葆儭賂蛹儭潘蜀儮儮?儮?儮?儮?erSpacingControl w:val=&quot;CompressPunctuation&quot;/&gt;&lt;w:noLineBreaksAfter w:lang=&quot;ZingControl w:val=&quot;CompressPunctuation&quot;/&gt;&lt;w:noLineBreaksAfter w:lang=&quot;ZH-TWontrol w:val=&quot;CompressPunctuation&quot;/&gt;&lt;w:noLineBreaksAfter w:lang=&quot;ZH-TWontrol w:val=&quot;CompressPunctuation&quot;/&gt;&lt;w:noLineBreaksAfter w:lang=&quot;ZH-TWontrol w:val=&quot;CompressPunctuation&quot;/&gt;&lt;w:noLineBreaksAfter w:lang=&quot;ZH-TWontrol w:val=&quot;CompressPunctuation&quot;/&gt;&lt;w:noLineBreaksAfter w:lang=&quot;ZH-TW?儮?儮?嚗?嚗?嚗?嚗播嚚?嚚?/&gt;&lt;ter w:lang=&quot;ZH-TWw:optimizeForBrowser/&gt;&lt;w:validateAgainstSchema/&gt;&lt;w:saveInvalidXML w:vater w:lang=&quot;ZH-TWl=&quot;off&quot;nctuation&quot;/&gt;&lt;w:no/&gt;&lt;w:ignoreMixedContent w:val=&quot;off&quot;/&gt;&lt;w:alwaysShowPlaceholderTeter w:lang=ation&quot;/&gt;&lt;w:noLine&quot;ZH-TWxt w:val=&quot;off&quot;/&gt;&lt;w:compat&gt;&lt;w:spaceForUL/&gt;&lt;w:balanceSingleByteDBreaksAfter w:lang=&quot;ZH-TW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E6D32&quot;/&gt;&lt;wsp:rsid wsp:val=&quot;00066034&quot;/&gt;&lt;wsp:rsid wsp:val=&quot;000B69E3&quot;/&gt;&lt;wsp:rsid wsp:val=&quot;000D79DE&quot;/&gt;&lt;wsp:rsid wsp:val=&quot;00100735&quot;/&gt;&lt;wsp:rsid wsp:val=&quot;001011B6&quot;/&gt;&lt;wsp:rsid wsp:val=&quot;00103B1F&quot;/&gt;&lt;wsp:rsid wsp:val=&quot;0011352B&quot;/&gt;&lt;wsp:rsid wsp:val=&quot;001265D4&quot;/&gt;&lt;wsp:rsid wsp:val=&quot;001404AC&quot;/&gt;&lt;wsp:rsid wsp:val=&quot;00143ADF&quot;/&gt;&lt;wsp:rsid wsp:val=&quot;00150272&quot;/&gt;&lt;wsp:rsid wsp:val=&quot;00151E6A&quot;/&gt;&lt;wsp:rsid wsp:val=&quot;00160301&quot;/&gt;&lt;wsp:rsid wsp:val=&quot;00162513&quot;/&gt;&lt;wsp:rsid wsp:val=&quot;001652B7&quot;/&gt;&lt;wsp:rsid wsp:val=&quot;0016760A&quot;/&gt;&lt;wsp:rsid wsp:val=&quot;001A482C&quot;/&gt;&lt;wsp:rsid wsp:val=&quot;001A67F4&quot;/&gt;&lt;wsp:rsid wsp:val=&quot;001B6CD5&quot;/&gt;&lt;wsp:rsid wsp:val=&quot;001C35AF&quot;/&gt;&lt;wsp:rsid wsp:val=&quot;001D0245&quot;/&gt;&lt;wsp:rsid wsp:val=&quot;001D02EA&quot;/&gt;&lt;wsp:rsid wsp:val=&quot;001D5C47&quot;/&gt;&lt;wsp:rsid wsp:val=&quot;00204908&quot;/&gt;&lt;wsp:rsid wsp:val=&quot;00206E5B&quot;/&gt;&lt;wsp:rsid wsp:val=&quot;002256D3&quot;/&gt;&lt;wsp:rsid wsp:val=&quot;00246536&quot;/&gt;&lt;wsp:rsid wsp:val=&quot;00256A40&quot;/&gt;&lt;wsp:rsid wsp:val=&quot;002B0E88&quot;/&gt;&lt;wsp:rsid wsp:val=&quot;002B5032&quot;/&gt;&lt;wsp:rsid wsp:val=&quot;0031199D&quot;/&gt;&lt;wsp:rsid wsp:val=&quot;003120AC&quot;/&gt;&lt;wsp:rsid wsp:val=&quot;00317853&quot;/&gt;&lt;wsp:rsid wsp:val=&quot;00370C4D&quot;/&gt;&lt;wsp:rsid wsp:val=&quot;003A777F&quot;/&gt;&lt;wsp:rsid wsp:val=&quot;003C2947&quot;/&gt;&lt;wsp:rsid wsp:val=&quot;003C2B01&quot;/&gt;&lt;wsp:rsid wsp:val=&quot;003D4D5E&quot;/&gt;&lt;wsp:rsid wsp:val=&quot;003D7E31&quot;/&gt;&lt;wsp:rsid wsp:val=&quot;00400B46&quot;/&gt;&lt;wsp:rsid wsp:val=&quot;00412005&quot;/&gt;&lt;wsp:rsid wsp:val=&quot;00414F6F&quot;/&gt;&lt;wsp:rsid wsp:val=&quot;00421BF2&quot;/&gt;&lt;wsp:rsid wsp:val=&quot;004425FF&quot;/&gt;&lt;wsp:rsid wsp:val=&quot;00443093&quot;/&gt;&lt;wsp:rsid wsp:val=&quot;00445781&quot;/&gt;&lt;wsp:rsid wsp:val=&quot;0045706B&quot;/&gt;&lt;wsp:rsid wsp:val=&quot;00462790&quot;/&gt;&lt;wsp:rsid wsp:val=&quot;0046451E&quot;/&gt;&lt;wsp:rsid wsp:val=&quot;00464E89&quot;/&gt;&lt;wsp:rsid wsp:val=&quot;00465194&quot;/&gt;&lt;wsp:rsid wsp:val=&quot;00474F73&quot;/&gt;&lt;wsp:rsid wsp:val=&quot;004B3488&quot;/&gt;&lt;wsp:rsid wsp:val=&quot;004C3A19&quot;/&gt;&lt;wsp:rsid wsp:val=&quot;0050685F&quot;/&gt;&lt;wsp:rsid wsp:val=&quot;00511ADC&quot;/&gt;&lt;wsp:rsid wsp:val=&quot;005120C1&quot;/&gt;&lt;wsp:rsid wsp:val=&quot;00547C21&quot;/&gt;&lt;wsp:rsid wsp:val=&quot;00596877&quot;/&gt;&lt;wsp:rsid wsp:val=&quot;005A17D8&quot;/&gt;&lt;wsp:rsid wsp:val=&quot;005E7600&quot;/&gt;&lt;wsp:rsid wsp:val=&quot;005F140C&quot;/&gt;&lt;wsp:rsid wsp:val=&quot;005F47C2&quot;/&gt;&lt;wsp:rsid wsp:val=&quot;006A5156&quot;/&gt;&lt;wsp:rsid wsp:val=&quot;006C36F7&quot;/&gt;&lt;wsp:rsid wsp:val=&quot;00717BF5&quot;/&gt;&lt;wsp:rsid wsp:val=&quot;00811BCB&quot;/&gt;&lt;wsp:rsid wsp:val=&quot;00816998&quot;/&gt;&lt;wsp:rsid wsp:val=&quot;00827BC3&quot;/&gt;&lt;wsp:rsid wsp:val=&quot;0089074E&quot;/&gt;&lt;wsp:rsid wsp:val=&quot;00895246&quot;/&gt;&lt;wsp:rsid wsp:val=&quot;008A057B&quot;/&gt;&lt;wsp:rsid wsp:val=&quot;00901B62&quot;/&gt;&lt;wsp:rsid wsp:val=&quot;00913E68&quot;/&gt;&lt;wsp:rsid wsp:val=&quot;00927F16&quot;/&gt;&lt;wsp:rsid wsp:val=&quot;00930FCD&quot;/&gt;&lt;wsp:rsid wsp:val=&quot;00942605&quot;/&gt;&lt;wsp:rsid wsp:val=&quot;00946FDE&quot;/&gt;&lt;wsp:rsid wsp:val=&quot;00970F90&quot;/&gt;&lt;wsp:rsid wsp:val=&quot;00996B31&quot;/&gt;&lt;wsp:rsid wsp:val=&quot;009A22B7&quot;/&gt;&lt;wsp:rsid wsp:val=&quot;009A2523&quot;/&gt;&lt;wsp:rsid wsp:val=&quot;009D0DAE&quot;/&gt;&lt;wsp:rsid wsp:val=&quot;009D793D&quot;/&gt;&lt;wsp:rsid wsp:val=&quot;009E2C0F&quot;/&gt;&lt;wsp:rsid wsp:val=&quot;009E4CF0&quot;/&gt;&lt;wsp:rsid wsp:val=&quot;009E6D32&quot;/&gt;&lt;wsp:rsid wsp:val=&quot;00A00852&quot;/&gt;&lt;wsp:rsid wsp:val=&quot;00A06BC3&quot;/&gt;&lt;wsp:rsid wsp:val=&quot;00AB3F87&quot;/&gt;&lt;wsp:rsid wsp:val=&quot;00AC3E0B&quot;/&gt;&lt;wsp:rsid wsp:val=&quot;00AF7E2F&quot;/&gt;&lt;wsp:rsid wsp:val=&quot;00B3380A&quot;/&gt;&lt;wsp:rsid wsp:val=&quot;00B47DA8&quot;/&gt;&lt;wsp:rsid wsp:val=&quot;00B503A6&quot;/&gt;&lt;wsp:rsid wsp:val=&quot;00B62373&quot;/&gt;&lt;wsp:rsid wsp:val=&quot;00B6757A&quot;/&gt;&lt;wsp:rsid wsp:val=&quot;00B735A3&quot;/&gt;&lt;wsp:rsid wsp:val=&quot;00B84445&quot;/&gt;&lt;wsp:rsid wsp:val=&quot;00B8751F&quot;/&gt;&lt;wsp:rsid wsp:val=&quot;00B904F5&quot;/&gt;&lt;wsp:rsid wsp:val=&quot;00B9394B&quot;/&gt;&lt;wsp:rsid wsp:val=&quot;00BA5CA3&quot;/&gt;&lt;wsp:rsid wsp:val=&quot;00BA7402&quot;/&gt;&lt;wsp:rsid wsp:val=&quot;00BA7665&quot;/&gt;&lt;wsp:rsid wsp:val=&quot;00BA7BC1&quot;/&gt;&lt;wsp:rsid wsp:val=&quot;00BB77B1&quot;/&gt;&lt;wsp:rsid wsp:val=&quot;00BF6360&quot;/&gt;&lt;wsp:rsid wsp:val=&quot;00C046F2&quot;/&gt;&lt;wsp:rsid wsp:val=&quot;00C3627F&quot;/&gt;&lt;wsp:rsid wsp:val=&quot;00C4026F&quot;/&gt;&lt;wsp:rsid wsp:val=&quot;00C5427C&quot;/&gt;&lt;wsp:rsid wsp:val=&quot;00C71E3C&quot;/&gt;&lt;wsp:rsid wsp:val=&quot;00C829A8&quot;/&gt;&lt;wsp:rsid wsp:val=&quot;00C834C1&quot;/&gt;&lt;wsp:rsid wsp:val=&quot;00C85525&quot;/&gt;&lt;wsp:rsid wsp:val=&quot;00C91971&quot;/&gt;&lt;wsp:rsid wsp:val=&quot;00CC6909&quot;/&gt;&lt;wsp:rsid wsp:val=&quot;00CD7BFA&quot;/&gt;&lt;wsp:rsid wsp:val=&quot;00CE0615&quot;/&gt;&lt;wsp:rsid wsp:val=&quot;00CE6B02&quot;/&gt;&lt;wsp:rsid wsp:val=&quot;00D15AB8&quot;/&gt;&lt;wsp:rsid wsp:val=&quot;00D17679&quot;/&gt;&lt;wsp:rsid wsp:val=&quot;00D2468F&quot;/&gt;&lt;wsp:rsid wsp:val=&quot;00D7676A&quot;/&gt;&lt;wsp:rsid wsp:val=&quot;00D825B3&quot;/&gt;&lt;wsp:rsid wsp:val=&quot;00D901E9&quot;/&gt;&lt;wsp:rsid wsp:val=&quot;00DC489F&quot;/&gt;&lt;wsp:rsid wsp:val=&quot;00E32B92&quot;/&gt;&lt;wsp:rsid wsp:val=&quot;00E34FE2&quot;/&gt;&lt;wsp:rsid wsp:val=&quot;00E36832&quot;/&gt;&lt;wsp:rsid wsp:val=&quot;00EA710E&quot;/&gt;&lt;wsp:rsid wsp:val=&quot;00F13C92&quot;/&gt;&lt;wsp:rsid wsp:val=&quot;00F847C1&quot;/&gt;&lt;wsp:rsid wsp:val=&quot;00F90CA5&quot;/&gt;&lt;wsp:rsid wsp:val=&quot;00F96FD9&quot;/&gt;&lt;wsp:rsid wsp:val=&quot;00FB2873&quot;/&gt;&lt;wsp:rsid wsp:val=&quot;00FE5CD4&quot;/&gt;&lt;wsp:rsid wsp:val=&quot;00FF0B80&quot;/&gt;&lt;wsp:rsid wsp:val=&quot;00FF2680&quot;/&gt;&lt;/wsp:rsids&gt;&lt;/w:docPr&gt;&lt;w:body&gt;&lt;wx:sect&gt;&lt;w:p wsp:rsidR=&quot;00000000&quot; wsp:rsidRDefault=&quot;00400B46&quot; wsp:rsidP=&quot;00400B46&quot;&gt;&lt;w:pPr&gt;&lt;w:ind w:first-line=&quot;400&quot;/&gt;&lt;/w:pPr&gt;&lt;m:oMathPara&gt;&lt;m:oMath&gt;&lt;m:sSub&gt;&lt;m:sSubPr&gt;&lt;m:ctrlPr&gt;&lt;w:rPr&gt;&lt;w:rFonts w:ascii=&quot;Cambria Math&quot; w:h-ansi=&quot;Cambria Math&quot;/&gt;&lt;wx:font wx:val=&quot;Cambria Math&quot;/&gt;&lt;w:b/&gt;&lt;w:sz w:val=&quot;20&quot;/&gt;&lt;w:sz-cs w:val=&quot;20&quot;/&gt;&lt;/w:rPr&gt;&lt;/m:ctrlPr&gt;&lt;/m:sSubPr&gt;&lt;m:e&gt;&lt;m:r&gt;&lt;m:rPr&gt;&lt;m:sty m:val=&quot;bi&quot;/&gt;&lt;/m:rPr&gt;&lt;w:rPr&gt;&lt;w:rFonts w:ascii=&quot;Cambria Math&quot; w:h-ansi=&quot;Cambria Math&quot;/&gt;&lt;wx:font wx:val=&quot;Cambria Math&quot;/&gt;&lt;w:b/&gt;&lt;w:i/&gt;&lt;w:sz w:val=&quot;20&quot;/&gt;&lt;w:sz-cs w:val=&quot;20&quot;/&gt;&lt;/w:rPr&gt;&lt;m:t&gt;庢&lt;/m:t&gt;&lt;/m:rl&gt;&lt;/m:e/&gt;&lt;m:sub&gt;&lt;m:r&gt;&lt;m:rPr&gt;&lt;m:sty m:val=&quot;bi&quot;/&gt;&lt;/m:rPr&gt;&lt;w:rPr&gt;&lt;w:rFonts w:asc:ii=&quot;Cambriar Math&quot; w:h-ansi=&quot;Cambria Math&quot;/&gt;&lt;wx:font wx:val=&quot;Cambria Math&quot;/&gt;&lt;w:b/&gt;&lt;w:i/&gt;&lt;w:rsz w:valt=&quot;20&quot;/&gt;&lt;w:sz-cs w:val=&quot;20&quot;/&gt;&lt;/w:rPr&gt;&lt;m:t&gt;ah&lt;/m:t&gt;&lt;/m:r&gt;&lt;/m:sub&gt;&lt;/m:sSub&gt;&lt;m:r&gt;&lt;m:rPr&gt;&lt;m:sty m:val=&quot;b&quot;/&gt;&lt;/m:rPr&gt;&lt;w:rPr&gt;&lt;w:rFonts w:ascii=&quot;Cambria Math&quot; w:h-ansi=&quot;Cambria Math&quot;/&gt;&lt;wx:font wx:val=&quot;Cambria Math&quot;/&gt;&lt;w:b/&gt;&lt;w:sz w:val=&quot;20&quot;/&gt;&lt;w:sz-cs w:val=&quot;20&quot;/&gt;&lt;/w:rPr&gt;&lt;m:t&gt;=&lt;/m:t&gt;&lt;/m:r&gt;&lt;m:f&gt;&lt;m:fPr&gt;&lt;m:ctrlPr&gt;&lt;w:rPr&gt;&lt;w:rFonts w:ascii=&quot;Cambria Math&quot; w:h-ansi=&quot;Cambria Math&quot;/&gt;&lt;wx:font wx:val=&quot;Cambria Math&quot;/&gt;&lt;w:b/&gt;&lt;w:sz w:val=&quot;20&quot;/&gt;&lt;w:sz-cs w:val=&quot;20&quot;/&gt;&lt;/w:rPr&gt;&lt;/m:ctrlPr&gt;&lt;/m:fPr&gt;&lt;m:num&gt;&lt;m:sSub&gt;&lt;m:sSubPr&gt;&lt;m:ctrlPr&gt;&lt;w:rPr&gt;&lt;w:rFonts w:ascii=&quot;Cambria Math&quot; w:h-ansi=&quot;Cambria Math&quot;/&gt;&lt;wx:font wx:val=&quot;Cambria Math&quot;/&gt;&lt;w:b/&gt;&lt;w:i/&gt;&lt;w:sz w:val=&quot;20&quot;/&gt;&lt;w:sz-cs w:val=&quot;20&quot;/&gt;&lt;/w:rPr&gt;&lt;/m:ctrlPr&gt;&lt;/m:sSubPr&gt;&lt;m:e&gt;&lt;m:r&gt;&lt;m:rPr&gt;&lt;m:sty m:val=&quot;bi&quot;/&gt;&lt;/m:rPr&gt;&lt;w:rPr&gt;&lt;w:rFonts w:ascii=&quot;Cambria Math&quot; w:h-ansi=&quot;Cambria Math&quot;/&gt;&lt;wx:font wx:val=&quot;Cambria Math&quot;/&gt;&lt;w:b/&gt;&lt;w:i/&gt;&lt;w:sz w:val=&quot;20&quot;/&gt;&lt;w:sz-cs w:val=&quot;20&quot;/&gt;&lt;/w:rPr&gt;&lt;m:t&gt;I&lt;/m:t&gt;&lt;/m:r&gt;&lt;/m:e&gt;&lt;m:sub&gt;&lt;m:r&gt;&lt;m:rPr&gt;&lt;m:sty m:val=&quot;bi&quot;/&gt;&lt;/m:rPr&gt;&lt;w:rPr&gt;&lt;w:rFonts w:ascii=&quot;Cambria Math&quot; w:h-ansi=&quot;Cambria Math&quot;/&gt;&lt;wx:font wx:val=&quot;Cambria Math&quot;/&gt;&lt;w:b/&gt;&lt;w:i/&gt;&lt;w:sz w:val=&quot;20&quot;/&gt;&lt;w:sz-cs w:val=&quot;20&quot;/&gt;&lt;/w:rPr&gt;&lt;m:t&gt;E&lt;/m:t&gt;&lt;/m:r&gt;&lt;/m:sub&gt;&lt;/m:sSub&gt;&lt;m:r&gt;&lt;m:rPr&gt;&lt;m:sty m:val=&quot;bi&quot;/&gt;&lt;/m:rPr&gt;&lt;w:rPr&gt;&lt;w:rFonts w:ascii=&quot;Cambria Math&quot; w:h-ansi=&quot;Cambria Math&quot;/&gt;&lt;wx:font wx:val=&quot;Cambria Math&quot;/&gt;&lt;w:b/&gt;&lt;w:i/&gt;&lt;w:sz w:val=&quot;20&quot;/&gt;&lt;w:sz-cs w:val=&quot;20&quot;/&gt;&lt;/w:rPr&gt;&lt;m:t&gt;*&lt;/m:t&gt;&lt;/m:r&gt;&lt;m:sSub&gt;&lt;m:sSubPr&gt;&lt;m:ctrlPr&gt;&lt;w:rPr&gt;&lt;w:rFonts w:ascii=&quot;Cambria Math&quot; w:h-ansi=&quot;Cambria Math&quot;/&gt;&lt;wx:font wx:val=&quot;Cambria Math&quot;/&gt;&lt;w:b/&gt;&lt;w:i/&gt;&lt;w:sz w:val=&quot;20&quot;/&gt;&lt;w:sz-cs w:val=&quot;20&quot;/&gt;&lt;/w:rPr&gt;&lt;/m:ctrlPr&gt;&lt;/m:sSubPr&gt;&lt;m:e&gt;&lt;m:r&gt;&lt;m:rPr&gt;&lt;m:sty m:val=&quot;bi&quot;/&gt;&lt;/m:rPr&gt;&lt;w:rPr&gt;&lt;w:rFonts w:ascii=&quot;Cambria Math&quot; w:h-ansi=&quot;Cambria Math&quot;/&gt;&lt;wx:font wx:val=&quot;Cambria Math&quot;/&gt;&lt;w:b/&gt;&lt;w:i/&gt;&lt;w:sz w:val=&quot;20&quot;/&gt;&lt;w:sz-cs w:val=&quot;20&quot;/&gt;&lt;/w:rPr&gt;&lt;m:t&gt;t&lt;/m:t&gt;&lt;/m:r&gt;&lt;/m:e&gt;&lt;m:sub&gt;&lt;m:r&gt;&lt;m:rPr&gt;&lt;m:sty m:val=&quot;bi&quot;/&gt;&lt;/m:rPr&gt;&lt;w:rPr&gt;&lt;w:rFonts w:ascii=&quot;Cambria Math&quot; w:h-ansi=&quot;Cambria Math&quot;/&gt;&lt;wx:font wx:val=&quot;Cambria Math&quot;/&gt;&lt;w:b/&gt;&lt;w:i/&gt;&lt;w:sz w:val=&quot;20&quot;/&gt;&lt;w:sz-cs w:val=&quot;20&quot;/&gt;&lt;/w:rPr&gt;&lt;m:t&gt;E&lt;/m:t&gt;&lt;/m:r&gt;&lt;/m:sub&gt;&lt;/m:sSub&gt;&lt;/m:num&gt;&lt;m:den&gt;&lt;m:sSub&gt;&lt;m:sSubPr&gt;&lt;m:ctrlPr&gt;&lt;w:rPr&gt;&lt;w:rFonts w:ascii=&quot;Cambria Math&quot; w:h-ansi=&quot;Cambria Math&quot;/&gt;&lt;wx:font wx:val=&quot;Cambria Math&quot;/&gt;&lt;w:b/&gt;&lt;w:i/&gt;&lt;w:sz w:val=&quot;20&quot;/&gt;&lt;w:sz-cs w:val=&quot;20&quot;/&gt;&lt;/w:rPr&gt;&lt;/m:ctrlPr&gt;&lt;/m:sSubPr&gt;&lt;m:e&gt;&lt;m:r&gt;&lt;m:rPr&gt;&lt;m:sty m:val=&quot;bi&quot;/&gt;&lt;/m:rPr&gt;&lt;w:rPr&gt;&lt;w:rFonts w:ascii=&quot;Cambria Math&quot; w:h-ansi=&quot;Cambria Math&quot;/&gt;&lt;wx:font wx:val=&quot;Cambria Math&quot;/&gt;&lt;w:b/&gt;&lt;w:i/&gt;&lt;w:sz w:val=&quot;20&quot;/&gt;&lt;w:sz-cs w:val=&quot;20&quot;/&gt;&lt;/w:rPr&gt;&lt;m:t&gt;I&lt;/m:t&gt;&lt;/m:r&gt;&lt;/m:e&gt;&lt;m:sub&gt;&lt;m:r&gt;&lt;m:rPr&gt;&lt;m:sty m:val=&quot;bi&quot;/&gt;&lt;/m:rPr&gt;&lt;w:rPr&gt;&lt;w:rFonts w:ascii=&quot;Cambria Math&quot; w:h-ansi=&quot;Cambria Math&quot;/&gt;&lt;wx:font wx:val=&quot;Cambria Math&quot;/&gt;&lt;w:b/&gt;&lt;w:i/&gt;&lt;w:sz w:val=&quot;20&quot;/&gt;&lt;w:sz-cs w:val=&quot;20&quot;/&gt;&lt;/w:rPr&gt;&lt;m:t&gt;L&lt;/m:t&gt;&lt;/m:r&gt;&lt;/m:sub&gt;&lt;/m:sSub&gt;&lt;m:r&gt;&lt;m:rPr&gt;&lt;m:sty m:val=&quot;bi&quot;/&gt;&lt;/m:rPr&gt;&lt;w:rPr&gt;&lt;w:rFonts w:ascii=&quot;Cambria Math&quot; w:h-ansi=&quot;Cambria Math&quot;/&gt;&lt;wx:font wx:val=&quot;Cambria Math&quot;/&gt;&lt;w:b/&gt;&lt;w:i/&gt;&lt;w:sz w:val=&quot;20&quot;/&gt;&lt;w:sz-cs w:val=&quot;20&quot;/&gt;&lt;/w:rPr&gt;&lt;m:t&gt;*&lt;/m:t&gt;&lt;/m:r&gt;&lt;m:sSub&gt;&lt;m:sSubPr&gt;&lt;m:ctrlPr&gt;&lt;w:rPr&gt;&lt;w:rFonts w:ascii=&quot;Cambria Math&quot; w:h-ansi=&quot;Cambria Math&quot;/&gt;&lt;wx:font wx:val=&quot;Cambria Math&quot;/&gt;&lt;w:b/&gt;&lt;w:i/&gt;&lt;w:sz w:val=&quot;20&quot;/&gt;&lt;w:sz-cs w:val=&quot;20&quot;/&gt;&lt;/w:rPr&gt;&lt;/m:ctrlPr&gt;&lt;/m:sSubPr&gt;&lt;m:e&gt;&lt;m:r&gt;&lt;m:rPr&gt;&lt;m:sty m:val=&quot;bi&quot;/&gt;&lt;/m:rPr&gt;&lt;w:rPr&gt;&lt;w:rFonts w:ascii=&quot;Cambria Math&quot; w:h-ansi=&quot;Cambria Math&quot;/&gt;&lt;wx:font wx:val=&quot;Cambria Math&quot;/&gt;&lt;w:b/&gt;&lt;w:i/&gt;&lt;w:sz w:val=&quot;20&quot;/&gt;&lt;w:sz-cs w:val=&quot;20&quot;/&gt;&lt;/w:rPr&gt;&lt;m:t&gt;t&lt;/m:t&gt;&lt;/m:r&gt;&lt;/m:e&gt;&lt;m:sub&gt;&lt;m:r&gt;&lt;m:rPr&gt;&lt;m:sty m:val=&quot;bi&quot;/&gt;&lt;/m:rPr&gt;&lt;w:rPr&gt;&lt;w:rFonts w:ascii=&quot;Cambria Math&quot; w:h-ansi=&quot;Cambria Math&quot;/&gt;&lt;wx:font wx:val=&quot;Cambria Math&quot;/&gt;&lt;w:b/&gt;&lt;w:i/&gt;&lt;w:sz w:val=&quot;20&quot;/&gt;&lt;w:sz-cs w:val=&quot;20&quot;/&gt;&lt;/w:rPr&gt;&lt;m:t&gt;L&lt;/m:t&gt;&lt;/m:r&gt;&lt;/m:sub&gt;&lt;/m:sSub&gt;&lt;/m:den&gt;&lt;/m:f&gt;&lt;m:r&gt;&lt;m:rPr&gt;&lt;m:sty m:val=&quot;b&quot;/&gt;&lt;/m:rPr&gt;&lt;w:rPr&gt;&lt;w:rFonts w:ascii=&quot;Cambria Math&quot; w:h-ansi=&quot;Cambria Math&quot;/&gt;&lt;wx:font wx:val=&quot;Cambria Math&quot;/&gt;&lt;w:b/&gt;&lt;w:sz w:val=&quot;20&quot;/&gt;&lt;w:sz-cs w:val=&quot;20&quot;/&gt;&lt;/w:rPr&gt;&lt;m:t&gt;*10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2" o:title="" chromakey="white"/>
          </v:shape>
        </w:pict>
      </w:r>
      <w:r w:rsidR="00DA0D4E" w:rsidRPr="00BA76F4">
        <w:rPr>
          <w:rFonts w:eastAsia="新細明體"/>
          <w:b/>
          <w:sz w:val="20"/>
          <w:szCs w:val="20"/>
        </w:rPr>
        <w:instrText xml:space="preserve"> </w:instrText>
      </w:r>
      <w:r w:rsidR="00DA0D4E" w:rsidRPr="00BA76F4">
        <w:rPr>
          <w:rFonts w:eastAsia="新細明體"/>
          <w:b/>
          <w:sz w:val="20"/>
          <w:szCs w:val="20"/>
        </w:rPr>
        <w:fldChar w:fldCharType="end"/>
      </w:r>
      <w:r w:rsidR="00DA0D4E" w:rsidRPr="00BA76F4">
        <w:rPr>
          <w:rFonts w:eastAsia="新細明體"/>
          <w:b/>
          <w:sz w:val="20"/>
          <w:szCs w:val="20"/>
        </w:rPr>
        <w:fldChar w:fldCharType="begin"/>
      </w:r>
      <w:r w:rsidR="00DA0D4E" w:rsidRPr="00BA76F4">
        <w:rPr>
          <w:rFonts w:eastAsia="新細明體"/>
          <w:b/>
          <w:sz w:val="20"/>
          <w:szCs w:val="20"/>
        </w:rPr>
        <w:instrText xml:space="preserve"> QUOTE </w:instrText>
      </w:r>
      <w:r>
        <w:rPr>
          <w:position w:val="-11"/>
        </w:rPr>
        <w:pict>
          <v:shape id="_x0000_i1028" type="#_x0000_t75" style="width:132pt;height:27.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bordersDontSurroundHeader/&gt;&lt;w:bordersDontSurroundFooter/&gt;&lt;w:defaultTabStop w:val=&quot;480&quot;/&gt;&lt;w:displayHorizontalDrawingGridEvery w:val=&quot;0&quot;/&gt;&lt;w:displayVerticalDrawingGridEvery w:val=&quot;2&quot;/&gt;&lt;w:punctuationKerning/&gt;&lt;w:characterSpacingControl w:val=&quot;CompressPunctuation&quot;/&gt;&lt;w:noLineBreaksAfter w:lang=&quot;ZH-TW&quot; w:val=&quot;([{瞿瞼?萸葭儭瘀號儭鳴蜇儭選?儮?儮?嚗?&quot;/&gt;&lt;w:noLineBreaksBefore w:lang=&quot;ZH-TW&quot; w:val=&quot;!),.:;?]}瞽繚?Ｔ乒色把聆?萼儭梧董儭湛葆儭賂蛹儭潘蜀儮儮?儮?儮?儮?erSpacingControl w:val=&quot;CompressPunctuation&quot;/&gt;&lt;w:noLineBreaksAfter w:lang=&quot;ZingControl w:val=&quot;CompressPunctuation&quot;/&gt;&lt;w:noLineBreaksAfter w:lang=&quot;ZH-TWontrol w:val=&quot;CompressPunctuation&quot;/&gt;&lt;w:noLineBreaksAfter w:lang=&quot;ZH-TWontrol w:val=&quot;CompressPunctuation&quot;/&gt;&lt;w:noLineBreaksAfter w:lang=&quot;ZH-TWontrol w:val=&quot;CompressPunctuation&quot;/&gt;&lt;w:noLineBreaksAfter w:lang=&quot;ZH-TWontrol w:val=&quot;CompressPunctuation&quot;/&gt;&lt;w:noLineBreaksAfter w:lang=&quot;ZH-TW?儮?儮?嚗?嚗?嚗?嚗播嚚?嚚?/&gt;&lt;ter w:lang=&quot;ZH-TWw:optimizeForBrowser/&gt;&lt;w:validateAgainstSchema/&gt;&lt;w:saveInvalidXML w:vater w:lang=&quot;ZH-TWl=&quot;off&quot;nctuation&quot;/&gt;&lt;w:no/&gt;&lt;w:ignoreMixedContent w:val=&quot;off&quot;/&gt;&lt;w:alwaysShowPlaceholderTeter w:lang=ation&quot;/&gt;&lt;w:noLine&quot;ZH-TWxt w:val=&quot;off&quot;/&gt;&lt;w:compat&gt;&lt;w:spaceForUL/&gt;&lt;w:balanceSingleByteDBreaksAfter w:lang=&quot;ZH-TW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E6D32&quot;/&gt;&lt;wsp:rsid wsp:val=&quot;00066034&quot;/&gt;&lt;wsp:rsid wsp:val=&quot;000B69E3&quot;/&gt;&lt;wsp:rsid wsp:val=&quot;000D79DE&quot;/&gt;&lt;wsp:rsid wsp:val=&quot;00100735&quot;/&gt;&lt;wsp:rsid wsp:val=&quot;001011B6&quot;/&gt;&lt;wsp:rsid wsp:val=&quot;00103B1F&quot;/&gt;&lt;wsp:rsid wsp:val=&quot;0011352B&quot;/&gt;&lt;wsp:rsid wsp:val=&quot;001265D4&quot;/&gt;&lt;wsp:rsid wsp:val=&quot;001404AC&quot;/&gt;&lt;wsp:rsid wsp:val=&quot;00143ADF&quot;/&gt;&lt;wsp:rsid wsp:val=&quot;00150272&quot;/&gt;&lt;wsp:rsid wsp:val=&quot;00151E6A&quot;/&gt;&lt;wsp:rsid wsp:val=&quot;00160301&quot;/&gt;&lt;wsp:rsid wsp:val=&quot;00162513&quot;/&gt;&lt;wsp:rsid wsp:val=&quot;001652B7&quot;/&gt;&lt;wsp:rsid wsp:val=&quot;0016760A&quot;/&gt;&lt;wsp:rsid wsp:val=&quot;001A482C&quot;/&gt;&lt;wsp:rsid wsp:val=&quot;001A67F4&quot;/&gt;&lt;wsp:rsid wsp:val=&quot;001B6CD5&quot;/&gt;&lt;wsp:rsid wsp:val=&quot;001C35AF&quot;/&gt;&lt;wsp:rsid wsp:val=&quot;001D0245&quot;/&gt;&lt;wsp:rsid wsp:val=&quot;001D02EA&quot;/&gt;&lt;wsp:rsid wsp:val=&quot;001D5C47&quot;/&gt;&lt;wsp:rsid wsp:val=&quot;00204908&quot;/&gt;&lt;wsp:rsid wsp:val=&quot;00206E5B&quot;/&gt;&lt;wsp:rsid wsp:val=&quot;002256D3&quot;/&gt;&lt;wsp:rsid wsp:val=&quot;00246536&quot;/&gt;&lt;wsp:rsid wsp:val=&quot;00256A40&quot;/&gt;&lt;wsp:rsid wsp:val=&quot;002B0E88&quot;/&gt;&lt;wsp:rsid wsp:val=&quot;002B5032&quot;/&gt;&lt;wsp:rsid wsp:val=&quot;0031199D&quot;/&gt;&lt;wsp:rsid wsp:val=&quot;003120AC&quot;/&gt;&lt;wsp:rsid wsp:val=&quot;00317853&quot;/&gt;&lt;wsp:rsid wsp:val=&quot;00370C4D&quot;/&gt;&lt;wsp:rsid wsp:val=&quot;003A777F&quot;/&gt;&lt;wsp:rsid wsp:val=&quot;003C2947&quot;/&gt;&lt;wsp:rsid wsp:val=&quot;003C2B01&quot;/&gt;&lt;wsp:rsid wsp:val=&quot;003D4D5E&quot;/&gt;&lt;wsp:rsid wsp:val=&quot;003D7E31&quot;/&gt;&lt;wsp:rsid wsp:val=&quot;00412005&quot;/&gt;&lt;wsp:rsid wsp:val=&quot;00414F6F&quot;/&gt;&lt;wsp:rsid wsp:val=&quot;00421BF2&quot;/&gt;&lt;wsp:rsid wsp:val=&quot;004425FF&quot;/&gt;&lt;wsp:rsid wsp:val=&quot;00443093&quot;/&gt;&lt;wsp:rsid wsp:val=&quot;00445781&quot;/&gt;&lt;wsp:rsid wsp:val=&quot;0045706B&quot;/&gt;&lt;wsp:rsid wsp:val=&quot;00462790&quot;/&gt;&lt;wsp:rsid wsp:val=&quot;0046451E&quot;/&gt;&lt;wsp:rsid wsp:val=&quot;00464E89&quot;/&gt;&lt;wsp:rsid wsp:val=&quot;00465194&quot;/&gt;&lt;wsp:rsid wsp:val=&quot;00474F73&quot;/&gt;&lt;wsp:rsid wsp:val=&quot;004B3488&quot;/&gt;&lt;wsp:rsid wsp:val=&quot;004C3A19&quot;/&gt;&lt;wsp:rsid wsp:val=&quot;00502B48&quot;/&gt;&lt;wsp:rsid wsp:val=&quot;0050685F&quot;/&gt;&lt;wsp:rsid wsp:val=&quot;00511ADC&quot;/&gt;&lt;wsp:rsid wsp:val=&quot;005120C1&quot;/&gt;&lt;wsp:rsid wsp:val=&quot;00547C21&quot;/&gt;&lt;wsp:rsid wsp:val=&quot;00596877&quot;/&gt;&lt;wsp:rsid wsp:val=&quot;005A17D8&quot;/&gt;&lt;wsp:rsid wsp:val=&quot;005E7600&quot;/&gt;&lt;wsp:rsid wsp:val=&quot;005F140C&quot;/&gt;&lt;wsp:rsid wsp:val=&quot;005F47C2&quot;/&gt;&lt;wsp:rsid wsp:val=&quot;006A5156&quot;/&gt;&lt;wsp:rsid wsp:val=&quot;006C36F7&quot;/&gt;&lt;wsp:rsid wsp:val=&quot;00717BF5&quot;/&gt;&lt;wsp:rsid wsp:val=&quot;00811BCB&quot;/&gt;&lt;wsp:rsid wsp:val=&quot;00816998&quot;/&gt;&lt;wsp:rsid wsp:val=&quot;00827BC3&quot;/&gt;&lt;wsp:rsid wsp:val=&quot;0089074E&quot;/&gt;&lt;wsp:rsid wsp:val=&quot;00895246&quot;/&gt;&lt;wsp:rsid wsp:val=&quot;008A057B&quot;/&gt;&lt;wsp:rsid wsp:val=&quot;00901B62&quot;/&gt;&lt;wsp:rsid wsp:val=&quot;00913E68&quot;/&gt;&lt;wsp:rsid wsp:val=&quot;00927F16&quot;/&gt;&lt;wsp:rsid wsp:val=&quot;00930FCD&quot;/&gt;&lt;wsp:rsid wsp:val=&quot;00942605&quot;/&gt;&lt;wsp:rsid wsp:val=&quot;00946FDE&quot;/&gt;&lt;wsp:rsid wsp:val=&quot;00970F90&quot;/&gt;&lt;wsp:rsid wsp:val=&quot;00996B31&quot;/&gt;&lt;wsp:rsid wsp:val=&quot;009A22B7&quot;/&gt;&lt;wsp:rsid wsp:val=&quot;009A2523&quot;/&gt;&lt;wsp:rsid wsp:val=&quot;009D0DAE&quot;/&gt;&lt;wsp:rsid wsp:val=&quot;009D793D&quot;/&gt;&lt;wsp:rsid wsp:val=&quot;009E2C0F&quot;/&gt;&lt;wsp:rsid wsp:val=&quot;009E4CF0&quot;/&gt;&lt;wsp:rsid wsp:val=&quot;009E6D32&quot;/&gt;&lt;wsp:rsid wsp:val=&quot;00A00852&quot;/&gt;&lt;wsp:rsid wsp:val=&quot;00A06BC3&quot;/&gt;&lt;wsp:rsid wsp:val=&quot;00AB3F87&quot;/&gt;&lt;wsp:rsid wsp:val=&quot;00AC3E0B&quot;/&gt;&lt;wsp:rsid wsp:val=&quot;00AF7E2F&quot;/&gt;&lt;wsp:rsid wsp:val=&quot;00B3380A&quot;/&gt;&lt;wsp:rsid wsp:val=&quot;00B47DA8&quot;/&gt;&lt;wsp:rsid wsp:val=&quot;00B503A6&quot;/&gt;&lt;wsp:rsid wsp:val=&quot;00B62373&quot;/&gt;&lt;wsp:rsid wsp:val=&quot;00B6757A&quot;/&gt;&lt;wsp:rsid wsp:val=&quot;00B735A3&quot;/&gt;&lt;wsp:rsid wsp:val=&quot;00B84445&quot;/&gt;&lt;wsp:rsid wsp:val=&quot;00B8751F&quot;/&gt;&lt;wsp:rsid wsp:val=&quot;00B904F5&quot;/&gt;&lt;wsp:rsid wsp:val=&quot;00B9394B&quot;/&gt;&lt;wsp:rsid wsp:val=&quot;00BA5CA3&quot;/&gt;&lt;wsp:rsid wsp:val=&quot;00BA7402&quot;/&gt;&lt;wsp:rsid wsp:val=&quot;00BA7665&quot;/&gt;&lt;wsp:rsid wsp:val=&quot;00BA7BC1&quot;/&gt;&lt;wsp:rsid wsp:val=&quot;00BB77B1&quot;/&gt;&lt;wsp:rsid wsp:val=&quot;00BF6360&quot;/&gt;&lt;wsp:rsid wsp:val=&quot;00C046F2&quot;/&gt;&lt;wsp:rsid wsp:val=&quot;00C3627F&quot;/&gt;&lt;wsp:rsid wsp:val=&quot;00C4026F&quot;/&gt;&lt;wsp:rsid wsp:val=&quot;00C5427C&quot;/&gt;&lt;wsp:rsid wsp:val=&quot;00C71E3C&quot;/&gt;&lt;wsp:rsid wsp:val=&quot;00C829A8&quot;/&gt;&lt;wsp:rsid wsp:val=&quot;00C834C1&quot;/&gt;&lt;wsp:rsid wsp:val=&quot;00C85525&quot;/&gt;&lt;wsp:rsid wsp:val=&quot;00C91971&quot;/&gt;&lt;wsp:rsid wsp:val=&quot;00CC6909&quot;/&gt;&lt;wsp:rsid wsp:val=&quot;00CD7BFA&quot;/&gt;&lt;wsp:rsid wsp:val=&quot;00CE0615&quot;/&gt;&lt;wsp:rsid wsp:val=&quot;00CE6B02&quot;/&gt;&lt;wsp:rsid wsp:val=&quot;00D15AB8&quot;/&gt;&lt;wsp:rsid wsp:val=&quot;00D17679&quot;/&gt;&lt;wsp:rsid wsp:val=&quot;00D2468F&quot;/&gt;&lt;wsp:rsid wsp:val=&quot;00D7676A&quot;/&gt;&lt;wsp:rsid wsp:val=&quot;00D825B3&quot;/&gt;&lt;wsp:rsid wsp:val=&quot;00D901E9&quot;/&gt;&lt;wsp:rsid wsp:val=&quot;00DC489F&quot;/&gt;&lt;wsp:rsid wsp:val=&quot;00E32B92&quot;/&gt;&lt;wsp:rsid wsp:val=&quot;00E34FE2&quot;/&gt;&lt;wsp:rsid wsp:val=&quot;00E36832&quot;/&gt;&lt;wsp:rsid wsp:val=&quot;00EA710E&quot;/&gt;&lt;wsp:rsid wsp:val=&quot;00F13C92&quot;/&gt;&lt;wsp:rsid wsp:val=&quot;00F847C1&quot;/&gt;&lt;wsp:rsid wsp:val=&quot;00F90CA5&quot;/&gt;&lt;wsp:rsid wsp:val=&quot;00F96FD9&quot;/&gt;&lt;wsp:rsid wsp:val=&quot;00FB2873&quot;/&gt;&lt;wsp:rsid wsp:val=&quot;00FE5CD4&quot;/&gt;&lt;wsp:rsid wsp:val=&quot;00FF0B80&quot;/&gt;&lt;wsp:rsid wsp:val=&quot;00FF2680&quot;/&gt;&lt;/wsp:rsids&gt;&lt;/w:docPr&gt;&lt;w:body&gt;&lt;wx:sect&gt;&lt;w:p wsp:rsidR=&quot;00000000&quot; wsp:rsidRDefault=&quot;00502B48&quot; wsp:rsidP=&quot;00502B48&quot;&gt;&lt;w:pPr&gt;&lt;w:ind w:first-line=&quot;641&quot;/&gt;&lt;/w:pPr&gt;&lt;m:oMathPara&gt;&lt;m:oMath&gt;&lt;m:sSub&gt;&lt;m:sSubPr&gt;&lt;m:ctrlPr&gt;&lt;w:rPr&gt;&lt;w:rFonts w:ascii=&quot;Cambria Math&quot; w:h-ansi=&quot;Cambria Math&quot;/&gt;&lt;wx:font wx:val=&quot;Cambria Math&quot;/&gt;&lt;w:b/&gt;&lt;w:sz w:val=&quot;32&quot;/&gt;&lt;/w:rPr&gt;&lt;/m:ctrlPr&gt;&lt;/m:sSubPr&gt;&lt;m:e&gt;&lt;m:r&gt;&lt;m:rPr&gt;&lt;m:sty m:val=&quot;bi&quot;/&gt;&lt;/m:rPr&gt;&lt;w:rPr&gt;&lt;w:rFonts w:ascii=&quot;Cambria Math&quot; w:h-ansi=&quot;Cambria Math&quot; w:hint=&quot;fareast&quot;/&gt;&lt;wx:font wx:val=&quot;Cambria Math&quot;/&gt;&lt;w:b/&gt;&lt;w:i/&gt;&lt;w:sz w:val=&quot;32&quot;/&gt;&lt;/w:rPr&gt;&lt;m:t&gt;庢&lt;/m:t&gt;&lt;/m:r&gt;&lt;/m:e&gt;&lt;m:sub&gt;&lt;m:r&gt;&lt;m:rPrt&gt;&lt;m:st&lt;y m:val=&quot;bi&quot;/&gt;&lt;/m:rPr&gt;&lt;w:rPr&gt;&lt;w:rFonts w:ascii=&quot;Cambria Math&quot; w:h-ans i=&quot;Cambria CMath&quot;/&gt;&lt;wx:font wx:val=&quot;Cambria Math&quot;/&gt;&lt;w:b/&gt;&lt;w:i/&gt;&lt;w:sz w:val=&quot;32&quot;/&gt;&lt;/w:rPr&gt;&lt;mM:t&gt;ah&lt;/m&gt;:t&gt;&lt;/m:r&gt;&lt;/m:sub&gt;&lt;/m:sSub&gt;&lt;m:r&gt;&lt;m:rPr&gt;&lt;m:sty m:val=&quot;b&quot;/&gt;&lt;/m:rPr&gt;&lt;w:rPr&gt;&lt;w:rFonts w:ascii=&quot;Cambria Math&quot; w:h-ansi=&quot;Cambria Math&quot;/&gt;&lt;wx:font wx:val=&quot;Cambria Math&quot;/&gt;&lt;w:b/&gt;&lt;w:sz w:val=&quot;32&quot;/&gt;&lt;/w:rPr&gt;&lt;m:t&gt;=&lt;/m:t&gt;&lt;/m:r&gt;&lt;m:f&gt;&lt;m:fPr&gt;&lt;m:ctrlPr&gt;&lt;w:rPr&gt;&lt;w:rFonts w:ascii=&quot;Cambria Math&quot; w:h-ansi=&quot;Cambria Math&quot;/&gt;&lt;wx:font wx:val=&quot;Cambria Math&quot;/&gt;&lt;w:b/&gt;&lt;w:sz w:val=&quot;32&quot;/&gt;&lt;/w:rPr&gt;&lt;/m:ctrlPr&gt;&lt;/m:fPr&gt;&lt;m:num&gt;&lt;m:sSub&gt;&lt;m:sSubPr&gt;&lt;m:ctrlPr&gt;&lt;w:rPr&gt;&lt;w:rFonts w:ascii=&quot;Cambria Math&quot; w:h-ansi=&quot;Cambria Math&quot;/&gt;&lt;wx:font wx:val=&quot;Cambria Math&quot;/&gt;&lt;w:b/&gt;&lt;w:i/&gt;&lt;w:sz w:val=&quot;32&quot;/&gt;&lt;/w:rPr&gt;&lt;/m:ctrlPr&gt;&lt;/m:sSubPr&gt;&lt;m:e&gt;&lt;m:r&gt;&lt;m:rPr&gt;&lt;m:sty m:val=&quot;bi&quot;/&gt;&lt;/m:rPr&gt;&lt;w:rPr&gt;&lt;w:rFonts w:ascii=&quot;Cambria Math&quot; w:h-ansi=&quot;Cambria Math&quot;/&gt;&lt;wx:font wx:val=&quot;Cambria Math&quot;/&gt;&lt;w:b/&gt;&lt;w:i/&gt;&lt;w:sz w:val=&quot;32&quot;/&gt;&lt;/w:rPr&gt;&lt;m:t&gt;I&lt;/m:t&gt;&lt;/m:r&gt;&lt;/m:e&gt;&lt;m:sub&gt;&lt;m:r&gt;&lt;m:rPr&gt;&lt;m:sty m:val=&quot;bi&quot;/&gt;&lt;/m:rPr&gt;&lt;w:rPr&gt;&lt;w:rFonts w:ascii=&quot;Cambria Math&quot; w:h-ansi=&quot;Cambria Math&quot;/&gt;&lt;wx:font wx:val=&quot;Cambria Math&quot;/&gt;&lt;w:b/&gt;&lt;w:i/&gt;&lt;w:sz w:val=&quot;32&quot;/&gt;&lt;/w:rPr&gt;&lt;m:t&gt;E&lt;/m:t&gt;&lt;/m:r&gt;&lt;/m:sub&gt;&lt;/m:sSub&gt;&lt;m:r&gt;&lt;m:rPr&gt;&lt;m:sty m:val=&quot;bi&quot;/&gt;&lt;/m:rPr&gt;&lt;w:rPr&gt;&lt;w:rFonts w:ascii=&quot;Cambria Math&quot; w:h-ansi=&quot;Cambria Math&quot;/&gt;&lt;wx:font wx:val=&quot;Cambria Math&quot;/&gt;&lt;w:b/&gt;&lt;w:i/&gt;&lt;w:sz w:val=&quot;32&quot;/&gt;&lt;/w:rPr&gt;&lt;m:t&gt;*&lt;/m:t&gt;&lt;/m:r&gt;&lt;m:sSub&gt;&lt;m:sSubPr&gt;&lt;m:ctrlPr&gt;&lt;w:rPr&gt;&lt;w:rFonts w:ascii=&quot;Cambria Math&quot; w:h-ansi=&quot;Cambria Math&quot;/&gt;&lt;wx:font wx:val=&quot;Cambria Math&quot;/&gt;&lt;w:b/&gt;&lt;w:i/&gt;&lt;w:sz w:val=&quot;32&quot;/&gt;&lt;/w:rPr&gt;&lt;/m:ctrlPr&gt;&lt;/m:sSubPr&gt;&lt;m:e&gt;&lt;m:r&gt;&lt;m:rPr&gt;&lt;m:sty m:val=&quot;bi&quot;/&gt;&lt;/m:rPr&gt;&lt;w:rPr&gt;&lt;w:rFonts w:ascii=&quot;Cambria Math&quot; w:h-ansi=&quot;Cambria Math&quot;/&gt;&lt;wx:font wx:val=&quot;Cambria Math&quot;/&gt;&lt;w:b/&gt;&lt;w:i/&gt;&lt;w:sz w:val=&quot;32&quot;/&gt;&lt;/w:rPr&gt;&lt;m:t&gt;t&lt;/m:t&gt;&lt;/m:r&gt;&lt;/m:e&gt;&lt;m:sub&gt;&lt;m:r&gt;&lt;m:rPr&gt;&lt;m:sty m:val=&quot;bi&quot;/&gt;&lt;/m:rPr&gt;&lt;w:rPr&gt;&lt;w:rFonts w:ascii=&quot;Cambria Math&quot; w:h-ansi=&quot;Cambria Math&quot;/&gt;&lt;wx:font wx:val=&quot;Cambria Math&quot;/&gt;&lt;w:b/&gt;&lt;w:i/&gt;&lt;w:sz w:val=&quot;32&quot;/&gt;&lt;/w:rPr&gt;&lt;m:t&gt;E&lt;/m:t&gt;&lt;/m:r&gt;&lt;/m:sub&gt;&lt;/m:sSub&gt;&lt;/m:num&gt;&lt;m:den&gt;&lt;m:sSub&gt;&lt;m:sSubPr&gt;&lt;m:ctrlPr&gt;&lt;w:rPr&gt;&lt;w:rFonts w:ascii=&quot;Cambria Math&quot; w:h-ansi=&quot;Cambria Math&quot;/&gt;&lt;wx:font wx:val=&quot;Cambria Math&quot;/&gt;&lt;w:b/&gt;&lt;w:i/&gt;&lt;w:sz w:val=&quot;32&quot;/&gt;&lt;/w:rPr&gt;&lt;/m:ctrlPr&gt;&lt;/m:sSubPr&gt;&lt;m:e&gt;&lt;m:r&gt;&lt;m:rPr&gt;&lt;m:sty m:val=&quot;bi&quot;/&gt;&lt;/m:rPr&gt;&lt;w:rPr&gt;&lt;w:rFonts w:ascii=&quot;Cambria Math&quot; w:h-ansi=&quot;Cambria Math&quot;/&gt;&lt;wx:font wx:val=&quot;Cambria Math&quot;/&gt;&lt;w:b/&gt;&lt;w:i/&gt;&lt;w:sz w:val=&quot;32&quot;/&gt;&lt;/w:rPr&gt;&lt;m:t&gt;I&lt;/m:t&gt;&lt;/m:r&gt;&lt;/m:e&gt;&lt;m:sub&gt;&lt;m:r&gt;&lt;m:rPr&gt;&lt;m:sty m:val=&quot;bi&quot;/&gt;&lt;/m:rPr&gt;&lt;w:rPr&gt;&lt;w:rFonts w:ascii=&quot;Cambria Math&quot; w:h-ansi=&quot;Cambria Math&quot;/&gt;&lt;wx:font wx:val=&quot;Cambria Math&quot;/&gt;&lt;w:b/&gt;&lt;w:i/&gt;&lt;w:sz w:val=&quot;32&quot;/&gt;&lt;/w:rPr&gt;&lt;m:t&gt;L&lt;/m:t&gt;&lt;/m:r&gt;&lt;/m:sub&gt;&lt;/m:sSub&gt;&lt;m:r&gt;&lt;m:rPr&gt;&lt;m:sty m:val=&quot;bi&quot;/&gt;&lt;/m:rPr&gt;&lt;w:rPr&gt;&lt;w:rFonts w:ascii=&quot;Cambria Math&quot; w:h-ansi=&quot;Cambria Math&quot;/&gt;&lt;wx:font wx:val=&quot;Cambria Math&quot;/&gt;&lt;w:b/&gt;&lt;w:i/&gt;&lt;w:sz w:val=&quot;32&quot;/&gt;&lt;/w:rPr&gt;&lt;m:t&gt;*&lt;/m:t&gt;&lt;/m:r&gt;&lt;m:sSub&gt;&lt;m:sSubPr&gt;&lt;m:ctrlPr&gt;&lt;w:rPr&gt;&lt;w:rFonts w:ascii=&quot;Cambria Math&quot; w:h-ansi=&quot;Cambria Math&quot;/&gt;&lt;wx:font wx:val=&quot;Cambria Math&quot;/&gt;&lt;w:b/&gt;&lt;w:i/&gt;&lt;w:sz w:val=&quot;32&quot;/&gt;&lt;/w:rPr&gt;&lt;/m:ctrlPr&gt;&lt;/m:sSubPr&gt;&lt;m:e&gt;&lt;m:r&gt;&lt;m:rPr&gt;&lt;m:sty m:val=&quot;bi&quot;/&gt;&lt;/m:rPr&gt;&lt;w:rPr&gt;&lt;w:rFonts w:ascii=&quot;Cambria Math&quot; w:h-ansi=&quot;Cambria Math&quot;/&gt;&lt;wx:font wx:val=&quot;Cambria Math&quot;/&gt;&lt;w:b/&gt;&lt;w:i/&gt;&lt;w:sz w:val=&quot;32&quot;/&gt;&lt;/w:rPr&gt;&lt;m:t&gt;t&lt;/m:t&gt;&lt;/m:r&gt;&lt;/m:e&gt;&lt;m:sub&gt;&lt;m:r&gt;&lt;m:rPr&gt;&lt;m:sty m:val=&quot;bi&quot;/&gt;&lt;/m:rPr&gt;&lt;w:rPr&gt;&lt;w:rFonts w:ascii=&quot;Cambria Math&quot; w:h-ansi=&quot;Cambria Math&quot;/&gt;&lt;wx:font wx:val=&quot;Cambria Math&quot;/&gt;&lt;w:b/&gt;&lt;w:i/&gt;&lt;w:sz w:val=&quot;32&quot;/&gt;&lt;/w:rPr&gt;&lt;m:t&gt;L&lt;/m:t&gt;&lt;/m:r&gt;&lt;/m:sub&gt;&lt;/m:sSub&gt;&lt;/m:den&gt;&lt;/m:f&gt;&lt;m:r&gt;&lt;m:rPr&gt;&lt;m:sty m:val=&quot;b&quot;/&gt;&lt;/m:rPr&gt;&lt;w:rPr&gt;&lt;w:rFonts w:ascii=&quot;Cambria Math&quot; w:h-ansi=&quot;Cambria Math&quot;/&gt;&lt;wx:font wx:val=&quot;Cambria Math&quot;/&gt;&lt;w:b/&gt;&lt;w:sz w:val=&quot;32&quot;/&gt;&lt;/w:rPr&gt;&lt;m:t&gt;*10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 o:title="" chromakey="white"/>
          </v:shape>
        </w:pict>
      </w:r>
      <w:r w:rsidR="00DA0D4E" w:rsidRPr="00BA76F4">
        <w:rPr>
          <w:rFonts w:eastAsia="新細明體"/>
          <w:b/>
          <w:sz w:val="20"/>
          <w:szCs w:val="20"/>
        </w:rPr>
        <w:instrText xml:space="preserve"> </w:instrText>
      </w:r>
      <w:r w:rsidR="00DA0D4E" w:rsidRPr="00BA76F4">
        <w:rPr>
          <w:rFonts w:eastAsia="新細明體"/>
          <w:b/>
          <w:sz w:val="20"/>
          <w:szCs w:val="20"/>
        </w:rPr>
        <w:fldChar w:fldCharType="end"/>
      </w:r>
      <w:r w:rsidR="00DA0D4E" w:rsidRPr="00BA76F4">
        <w:rPr>
          <w:rFonts w:eastAsia="新細明體"/>
          <w:b/>
          <w:sz w:val="20"/>
          <w:szCs w:val="20"/>
        </w:rPr>
        <w:fldChar w:fldCharType="begin"/>
      </w:r>
      <w:r w:rsidR="00DA0D4E" w:rsidRPr="00BA76F4">
        <w:rPr>
          <w:rFonts w:eastAsia="新細明體"/>
          <w:b/>
          <w:sz w:val="20"/>
          <w:szCs w:val="20"/>
        </w:rPr>
        <w:instrText xml:space="preserve"> QUOTE </w:instrText>
      </w:r>
      <w:r>
        <w:rPr>
          <w:position w:val="-11"/>
        </w:rPr>
        <w:pict>
          <v:shape id="_x0000_i1029" type="#_x0000_t75" style="width:132pt;height:27.7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bordersDontSurroundHeader/&gt;&lt;w:bordersDontSurroundFooter/&gt;&lt;w:defaultTabStop w:val=&quot;480&quot;/&gt;&lt;w:displayHorizontalDrawingGridEvery w:val=&quot;0&quot;/&gt;&lt;w:displayVerticalDrawingGridEvery w:val=&quot;2&quot;/&gt;&lt;w:punctuationKerning/&gt;&lt;w:characterSpacingControl w:val=&quot;CompressPunctuation&quot;/&gt;&lt;w:noLineBreaksAfter w:lang=&quot;ZH-TW&quot; w:val=&quot;([{瞿瞼?萸葭儭瘀號儭鳴蜇儭選?儮?儮?嚗?&quot;/&gt;&lt;w:noLineBreaksBefore w:lang=&quot;ZH-TW&quot; w:val=&quot;!),.:;?]}瞽繚?Ｔ乒色把聆?萼儭梧董儭湛葆儭賂蛹儭潘蜀儮儮?儮?儮?儮?erSpacingControl w:val=&quot;CompressPunctuation&quot;/&gt;&lt;w:noLineBreaksAfter w:lang=&quot;ZingControl w:val=&quot;CompressPunctuation&quot;/&gt;&lt;w:noLineBreaksAfter w:lang=&quot;ZH-TWontrol w:val=&quot;CompressPunctuation&quot;/&gt;&lt;w:noLineBreaksAfter w:lang=&quot;ZH-TWontrol w:val=&quot;CompressPunctuation&quot;/&gt;&lt;w:noLineBreaksAfter w:lang=&quot;ZH-TWontrol w:val=&quot;CompressPunctuation&quot;/&gt;&lt;w:noLineBreaksAfter w:lang=&quot;ZH-TWontrol w:val=&quot;CompressPunctuation&quot;/&gt;&lt;w:noLineBreaksAfter w:lang=&quot;ZH-TW?儮?儮?嚗?嚗?嚗?嚗播嚚?嚚?/&gt;&lt;ter w:lang=&quot;ZH-TWw:optimizeForBrowser/&gt;&lt;w:validateAgainstSchema/&gt;&lt;w:saveInvalidXML w:vater w:lang=&quot;ZH-TWl=&quot;off&quot;nctuation&quot;/&gt;&lt;w:no/&gt;&lt;w:ignoreMixedContent w:val=&quot;off&quot;/&gt;&lt;w:alwaysShowPlaceholderTeter w:lang=ation&quot;/&gt;&lt;w:noLine&quot;ZH-TWxt w:val=&quot;off&quot;/&gt;&lt;w:compat&gt;&lt;w:spaceForUL/&gt;&lt;w:balanceSingleByteDBreaksAfter w:lang=&quot;ZH-TW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E6D32&quot;/&gt;&lt;wsp:rsid wsp:val=&quot;00066034&quot;/&gt;&lt;wsp:rsid wsp:val=&quot;000B69E3&quot;/&gt;&lt;wsp:rsid wsp:val=&quot;000D79DE&quot;/&gt;&lt;wsp:rsid wsp:val=&quot;00100735&quot;/&gt;&lt;wsp:rsid wsp:val=&quot;001011B6&quot;/&gt;&lt;wsp:rsid wsp:val=&quot;00103B1F&quot;/&gt;&lt;wsp:rsid wsp:val=&quot;0011352B&quot;/&gt;&lt;wsp:rsid wsp:val=&quot;001265D4&quot;/&gt;&lt;wsp:rsid wsp:val=&quot;001404AC&quot;/&gt;&lt;wsp:rsid wsp:val=&quot;00143ADF&quot;/&gt;&lt;wsp:rsid wsp:val=&quot;00150272&quot;/&gt;&lt;wsp:rsid wsp:val=&quot;00151E6A&quot;/&gt;&lt;wsp:rsid wsp:val=&quot;00160301&quot;/&gt;&lt;wsp:rsid wsp:val=&quot;00162513&quot;/&gt;&lt;wsp:rsid wsp:val=&quot;001652B7&quot;/&gt;&lt;wsp:rsid wsp:val=&quot;0016760A&quot;/&gt;&lt;wsp:rsid wsp:val=&quot;001A482C&quot;/&gt;&lt;wsp:rsid wsp:val=&quot;001A67F4&quot;/&gt;&lt;wsp:rsid wsp:val=&quot;001B6CD5&quot;/&gt;&lt;wsp:rsid wsp:val=&quot;001C35AF&quot;/&gt;&lt;wsp:rsid wsp:val=&quot;001D0245&quot;/&gt;&lt;wsp:rsid wsp:val=&quot;001D02EA&quot;/&gt;&lt;wsp:rsid wsp:val=&quot;001D5C47&quot;/&gt;&lt;wsp:rsid wsp:val=&quot;00204908&quot;/&gt;&lt;wsp:rsid wsp:val=&quot;00206E5B&quot;/&gt;&lt;wsp:rsid wsp:val=&quot;002256D3&quot;/&gt;&lt;wsp:rsid wsp:val=&quot;00246536&quot;/&gt;&lt;wsp:rsid wsp:val=&quot;00256A40&quot;/&gt;&lt;wsp:rsid wsp:val=&quot;002B0E88&quot;/&gt;&lt;wsp:rsid wsp:val=&quot;002B5032&quot;/&gt;&lt;wsp:rsid wsp:val=&quot;0031199D&quot;/&gt;&lt;wsp:rsid wsp:val=&quot;003120AC&quot;/&gt;&lt;wsp:rsid wsp:val=&quot;00317853&quot;/&gt;&lt;wsp:rsid wsp:val=&quot;00370C4D&quot;/&gt;&lt;wsp:rsid wsp:val=&quot;003A777F&quot;/&gt;&lt;wsp:rsid wsp:val=&quot;003C2947&quot;/&gt;&lt;wsp:rsid wsp:val=&quot;003C2B01&quot;/&gt;&lt;wsp:rsid wsp:val=&quot;003D4D5E&quot;/&gt;&lt;wsp:rsid wsp:val=&quot;003D7E31&quot;/&gt;&lt;wsp:rsid wsp:val=&quot;00412005&quot;/&gt;&lt;wsp:rsid wsp:val=&quot;00414F6F&quot;/&gt;&lt;wsp:rsid wsp:val=&quot;00421BF2&quot;/&gt;&lt;wsp:rsid wsp:val=&quot;004425FF&quot;/&gt;&lt;wsp:rsid wsp:val=&quot;00443093&quot;/&gt;&lt;wsp:rsid wsp:val=&quot;00445781&quot;/&gt;&lt;wsp:rsid wsp:val=&quot;0045706B&quot;/&gt;&lt;wsp:rsid wsp:val=&quot;00462790&quot;/&gt;&lt;wsp:rsid wsp:val=&quot;0046451E&quot;/&gt;&lt;wsp:rsid wsp:val=&quot;00464E89&quot;/&gt;&lt;wsp:rsid wsp:val=&quot;00465194&quot;/&gt;&lt;wsp:rsid wsp:val=&quot;00474F73&quot;/&gt;&lt;wsp:rsid wsp:val=&quot;004B3488&quot;/&gt;&lt;wsp:rsid wsp:val=&quot;004C3A19&quot;/&gt;&lt;wsp:rsid wsp:val=&quot;0050685F&quot;/&gt;&lt;wsp:rsid wsp:val=&quot;00511ADC&quot;/&gt;&lt;wsp:rsid wsp:val=&quot;005120C1&quot;/&gt;&lt;wsp:rsid wsp:val=&quot;00547C21&quot;/&gt;&lt;wsp:rsid wsp:val=&quot;00596877&quot;/&gt;&lt;wsp:rsid wsp:val=&quot;005A17D8&quot;/&gt;&lt;wsp:rsid wsp:val=&quot;005E7600&quot;/&gt;&lt;wsp:rsid wsp:val=&quot;005F140C&quot;/&gt;&lt;wsp:rsid wsp:val=&quot;005F47C2&quot;/&gt;&lt;wsp:rsid wsp:val=&quot;006A5156&quot;/&gt;&lt;wsp:rsid wsp:val=&quot;006C36F7&quot;/&gt;&lt;wsp:rsid wsp:val=&quot;00717BF5&quot;/&gt;&lt;wsp:rsid wsp:val=&quot;00811BCB&quot;/&gt;&lt;wsp:rsid wsp:val=&quot;00816998&quot;/&gt;&lt;wsp:rsid wsp:val=&quot;00827BC3&quot;/&gt;&lt;wsp:rsid wsp:val=&quot;0089074E&quot;/&gt;&lt;wsp:rsid wsp:val=&quot;00895246&quot;/&gt;&lt;wsp:rsid wsp:val=&quot;008A057B&quot;/&gt;&lt;wsp:rsid wsp:val=&quot;00901B62&quot;/&gt;&lt;wsp:rsid wsp:val=&quot;00913E68&quot;/&gt;&lt;wsp:rsid wsp:val=&quot;00927F16&quot;/&gt;&lt;wsp:rsid wsp:val=&quot;00930FCD&quot;/&gt;&lt;wsp:rsid wsp:val=&quot;00942605&quot;/&gt;&lt;wsp:rsid wsp:val=&quot;00946FDE&quot;/&gt;&lt;wsp:rsid wsp:val=&quot;00970F90&quot;/&gt;&lt;wsp:rsid wsp:val=&quot;00996B31&quot;/&gt;&lt;wsp:rsid wsp:val=&quot;009A22B7&quot;/&gt;&lt;wsp:rsid wsp:val=&quot;009A2523&quot;/&gt;&lt;wsp:rsid wsp:val=&quot;009D0DAE&quot;/&gt;&lt;wsp:rsid wsp:val=&quot;009D793D&quot;/&gt;&lt;wsp:rsid wsp:val=&quot;009E2C0F&quot;/&gt;&lt;wsp:rsid wsp:val=&quot;009E4CF0&quot;/&gt;&lt;wsp:rsid wsp:val=&quot;009E6D32&quot;/&gt;&lt;wsp:rsid wsp:val=&quot;00A00852&quot;/&gt;&lt;wsp:rsid wsp:val=&quot;00A06BC3&quot;/&gt;&lt;wsp:rsid wsp:val=&quot;00AB3F87&quot;/&gt;&lt;wsp:rsid wsp:val=&quot;00AC3E0B&quot;/&gt;&lt;wsp:rsid wsp:val=&quot;00AF7E2F&quot;/&gt;&lt;wsp:rsid wsp:val=&quot;00B3380A&quot;/&gt;&lt;wsp:rsid wsp:val=&quot;00B47DA8&quot;/&gt;&lt;wsp:rsid wsp:val=&quot;00B503A6&quot;/&gt;&lt;wsp:rsid wsp:val=&quot;00B62373&quot;/&gt;&lt;wsp:rsid wsp:val=&quot;00B6757A&quot;/&gt;&lt;wsp:rsid wsp:val=&quot;00B735A3&quot;/&gt;&lt;wsp:rsid wsp:val=&quot;00B84445&quot;/&gt;&lt;wsp:rsid wsp:val=&quot;00B8751F&quot;/&gt;&lt;wsp:rsid wsp:val=&quot;00B904F5&quot;/&gt;&lt;wsp:rsid wsp:val=&quot;00B9394B&quot;/&gt;&lt;wsp:rsid wsp:val=&quot;00BA5CA3&quot;/&gt;&lt;wsp:rsid wsp:val=&quot;00BA7402&quot;/&gt;&lt;wsp:rsid wsp:val=&quot;00BA7665&quot;/&gt;&lt;wsp:rsid wsp:val=&quot;00BA7BC1&quot;/&gt;&lt;wsp:rsid wsp:val=&quot;00BB77B1&quot;/&gt;&lt;wsp:rsid wsp:val=&quot;00BF6360&quot;/&gt;&lt;wsp:rsid wsp:val=&quot;00C046F2&quot;/&gt;&lt;wsp:rsid wsp:val=&quot;00C3627F&quot;/&gt;&lt;wsp:rsid wsp:val=&quot;00C4026F&quot;/&gt;&lt;wsp:rsid wsp:val=&quot;00C5427C&quot;/&gt;&lt;wsp:rsid wsp:val=&quot;00C71E3C&quot;/&gt;&lt;wsp:rsid wsp:val=&quot;00C829A8&quot;/&gt;&lt;wsp:rsid wsp:val=&quot;00C834C1&quot;/&gt;&lt;wsp:rsid wsp:val=&quot;00C85525&quot;/&gt;&lt;wsp:rsid wsp:val=&quot;00C91971&quot;/&gt;&lt;wsp:rsid wsp:val=&quot;00CC6909&quot;/&gt;&lt;wsp:rsid wsp:val=&quot;00CD7BFA&quot;/&gt;&lt;wsp:rsid wsp:val=&quot;00CE0615&quot;/&gt;&lt;wsp:rsid wsp:val=&quot;00CE6B02&quot;/&gt;&lt;wsp:rsid wsp:val=&quot;00D15AB8&quot;/&gt;&lt;wsp:rsid wsp:val=&quot;00D17679&quot;/&gt;&lt;wsp:rsid wsp:val=&quot;00D2468F&quot;/&gt;&lt;wsp:rsid wsp:val=&quot;00D7676A&quot;/&gt;&lt;wsp:rsid wsp:val=&quot;00D825B3&quot;/&gt;&lt;wsp:rsid wsp:val=&quot;00D901E9&quot;/&gt;&lt;wsp:rsid wsp:val=&quot;00DC489F&quot;/&gt;&lt;wsp:rsid wsp:val=&quot;00E32B92&quot;/&gt;&lt;wsp:rsid wsp:val=&quot;00E34FE2&quot;/&gt;&lt;wsp:rsid wsp:val=&quot;00E36832&quot;/&gt;&lt;wsp:rsid wsp:val=&quot;00EA710E&quot;/&gt;&lt;wsp:rsid wsp:val=&quot;00F13C92&quot;/&gt;&lt;wsp:rsid wsp:val=&quot;00F43C4E&quot;/&gt;&lt;wsp:rsid wsp:val=&quot;00F847C1&quot;/&gt;&lt;wsp:rsid wsp:val=&quot;00F90CA5&quot;/&gt;&lt;wsp:rsid wsp:val=&quot;00F96FD9&quot;/&gt;&lt;wsp:rsid wsp:val=&quot;00FB2873&quot;/&gt;&lt;wsp:rsid wsp:val=&quot;00FE5CD4&quot;/&gt;&lt;wsp:rsid wsp:val=&quot;00FF0B80&quot;/&gt;&lt;wsp:rsid wsp:val=&quot;00FF2680&quot;/&gt;&lt;/wsp:rsids&gt;&lt;/w:docPr&gt;&lt;w:body&gt;&lt;wx:sect&gt;&lt;w:p wsp:rsidR=&quot;00000000&quot; wsp:rsidRDefault=&quot;00F43C4E&quot; wsp:rsidP=&quot;00F43C4E&quot;&gt;&lt;w:pPr&gt;&lt;w:ind w:first-line=&quot;641&quot;/&gt;&lt;/w:pPr&gt;&lt;m:oMathPara&gt;&lt;m:oMath&gt;&lt;m:sSub&gt;&lt;m:sSubPr&gt;&lt;m:ctrlPr&gt;&lt;w:rPr&gt;&lt;w:rFonts w:ascii=&quot;Cambria Math&quot; w:h-ansi=&quot;Cambria Math&quot;/&gt;&lt;wx:font wx:val=&quot;Cambria Math&quot;/&gt;&lt;w:b/&gt;&lt;w:sz w:val=&quot;32&quot;/&gt;&lt;/w:rPr&gt;&lt;/m:ctrlPr&gt;&lt;/m:sSubPr&gt;&lt;m:e&gt;&lt;m:r&gt;&lt;m:rPr&gt;&lt;m:sty m:val=&quot;bi&quot;/&gt;&lt;/m:rPr&gt;&lt;w:rPr&gt;&lt;w:rFonts w:ascii=&quot;Cambria Math&quot; w:h-ansi=&quot;Cambria Math&quot; w:hint=&quot;fareast&quot;/&gt;&lt;wx:font wx:val=&quot;Cambria Math&quot;/&gt;&lt;w:b/&gt;&lt;w:i/&gt;&lt;w:sz w:val=&quot;32&quot;/&gt;&lt;/w:rPr&gt;&lt;m:t&gt;庢&lt;/m:t&gt;&lt;/m:r&gt;&lt;/m:e&gt;&lt;m:sub&gt;&lt;m:r&gt;&lt;m:rPrt&gt;&lt;m:st&lt;y m:val=&quot;bi&quot;/&gt;&lt;/m:rPr&gt;&lt;w:rPr&gt;&lt;w:rFonts w:ascii=&quot;Cambria Math&quot; w:h-ans i=&quot;Cambria CMath&quot;/&gt;&lt;wx:font wx:val=&quot;Cambria Math&quot;/&gt;&lt;w:b/&gt;&lt;w:i/&gt;&lt;w:sz w:val=&quot;32&quot;/&gt;&lt;/w:rPr&gt;&lt;mM:t&gt;ah&lt;/m&gt;:t&gt;&lt;/m:r&gt;&lt;/m:sub&gt;&lt;/m:sSub&gt;&lt;m:r&gt;&lt;m:rPr&gt;&lt;m:sty m:val=&quot;b&quot;/&gt;&lt;/m:rPr&gt;&lt;w:rPr&gt;&lt;w:rFonts w:ascii=&quot;Cambria Math&quot; w:h-ansi=&quot;Cambria Math&quot;/&gt;&lt;wx:font wx:val=&quot;Cambria Math&quot;/&gt;&lt;w:b/&gt;&lt;w:sz w:val=&quot;32&quot;/&gt;&lt;/w:rPr&gt;&lt;m:t&gt;=&lt;/m:t&gt;&lt;/m:r&gt;&lt;m:f&gt;&lt;m:fPr&gt;&lt;m:ctrlPr&gt;&lt;w:rPr&gt;&lt;w:rFonts w:ascii=&quot;Cambria Math&quot; w:h-ansi=&quot;Cambria Math&quot;/&gt;&lt;wx:font wx:val=&quot;Cambria Math&quot;/&gt;&lt;w:b/&gt;&lt;w:sz w:val=&quot;32&quot;/&gt;&lt;/w:rPr&gt;&lt;/m:ctrlPr&gt;&lt;/m:fPr&gt;&lt;m:num&gt;&lt;m:sSub&gt;&lt;m:sSubPr&gt;&lt;m:ctrlPr&gt;&lt;w:rPr&gt;&lt;w:rFonts w:ascii=&quot;Cambria Math&quot; w:h-ansi=&quot;Cambria Math&quot;/&gt;&lt;wx:font wx:val=&quot;Cambria Math&quot;/&gt;&lt;w:b/&gt;&lt;w:i/&gt;&lt;w:sz w:val=&quot;32&quot;/&gt;&lt;/w:rPr&gt;&lt;/m:ctrlPr&gt;&lt;/m:sSubPr&gt;&lt;m:e&gt;&lt;m:r&gt;&lt;m:rPr&gt;&lt;m:sty m:val=&quot;bi&quot;/&gt;&lt;/m:rPr&gt;&lt;w:rPr&gt;&lt;w:rFonts w:ascii=&quot;Cambria Math&quot; w:h-ansi=&quot;Cambria Math&quot;/&gt;&lt;wx:font wx:val=&quot;Cambria Math&quot;/&gt;&lt;w:b/&gt;&lt;w:i/&gt;&lt;w:sz w:val=&quot;32&quot;/&gt;&lt;/w:rPr&gt;&lt;m:t&gt;I&lt;/m:t&gt;&lt;/m:r&gt;&lt;/m:e&gt;&lt;m:sub&gt;&lt;m:r&gt;&lt;m:rPr&gt;&lt;m:sty m:val=&quot;bi&quot;/&gt;&lt;/m:rPr&gt;&lt;w:rPr&gt;&lt;w:rFonts w:ascii=&quot;Cambria Math&quot; w:h-ansi=&quot;Cambria Math&quot;/&gt;&lt;wx:font wx:val=&quot;Cambria Math&quot;/&gt;&lt;w:b/&gt;&lt;w:i/&gt;&lt;w:sz w:val=&quot;32&quot;/&gt;&lt;/w:rPr&gt;&lt;m:t&gt;E&lt;/m:t&gt;&lt;/m:r&gt;&lt;/m:sub&gt;&lt;/m:sSub&gt;&lt;m:r&gt;&lt;m:rPr&gt;&lt;m:sty m:val=&quot;bi&quot;/&gt;&lt;/m:rPr&gt;&lt;w:rPr&gt;&lt;w:rFonts w:ascii=&quot;Cambria Math&quot; w:h-ansi=&quot;Cambria Math&quot;/&gt;&lt;wx:font wx:val=&quot;Cambria Math&quot;/&gt;&lt;w:b/&gt;&lt;w:i/&gt;&lt;w:sz w:val=&quot;32&quot;/&gt;&lt;/w:rPr&gt;&lt;m:t&gt;*&lt;/m:t&gt;&lt;/m:r&gt;&lt;m:sSub&gt;&lt;m:sSubPr&gt;&lt;m:ctrlPr&gt;&lt;w:rPr&gt;&lt;w:rFonts w:ascii=&quot;Cambria Math&quot; w:h-ansi=&quot;Cambria Math&quot;/&gt;&lt;wx:font wx:val=&quot;Cambria Math&quot;/&gt;&lt;w:b/&gt;&lt;w:i/&gt;&lt;w:sz w:val=&quot;32&quot;/&gt;&lt;/w:rPr&gt;&lt;/m:ctrlPr&gt;&lt;/m:sSubPr&gt;&lt;m:e&gt;&lt;m:r&gt;&lt;m:rPr&gt;&lt;m:sty m:val=&quot;bi&quot;/&gt;&lt;/m:rPr&gt;&lt;w:rPr&gt;&lt;w:rFonts w:ascii=&quot;Cambria Math&quot; w:h-ansi=&quot;Cambria Math&quot;/&gt;&lt;wx:font wx:val=&quot;Cambria Math&quot;/&gt;&lt;w:b/&gt;&lt;w:i/&gt;&lt;w:sz w:val=&quot;32&quot;/&gt;&lt;/w:rPr&gt;&lt;m:t&gt;t&lt;/m:t&gt;&lt;/m:r&gt;&lt;/m:e&gt;&lt;m:sub&gt;&lt;m:r&gt;&lt;m:rPr&gt;&lt;m:sty m:val=&quot;bi&quot;/&gt;&lt;/m:rPr&gt;&lt;w:rPr&gt;&lt;w:rFonts w:ascii=&quot;Cambria Math&quot; w:h-ansi=&quot;Cambria Math&quot;/&gt;&lt;wx:font wx:val=&quot;Cambria Math&quot;/&gt;&lt;w:b/&gt;&lt;w:i/&gt;&lt;w:sz w:val=&quot;32&quot;/&gt;&lt;/w:rPr&gt;&lt;m:t&gt;E&lt;/m:t&gt;&lt;/m:r&gt;&lt;/m:sub&gt;&lt;/m:sSub&gt;&lt;/m:num&gt;&lt;m:den&gt;&lt;m:sSub&gt;&lt;m:sSubPr&gt;&lt;m:ctrlPr&gt;&lt;w:rPr&gt;&lt;w:rFonts w:ascii=&quot;Cambria Math&quot; w:h-ansi=&quot;Cambria Math&quot;/&gt;&lt;wx:font wx:val=&quot;Cambria Math&quot;/&gt;&lt;w:b/&gt;&lt;w:i/&gt;&lt;w:sz w:val=&quot;32&quot;/&gt;&lt;/w:rPr&gt;&lt;/m:ctrlPr&gt;&lt;/m:sSubPr&gt;&lt;m:e&gt;&lt;m:r&gt;&lt;m:rPr&gt;&lt;m:sty m:val=&quot;bi&quot;/&gt;&lt;/m:rPr&gt;&lt;w:rPr&gt;&lt;w:rFonts w:ascii=&quot;Cambria Math&quot; w:h-ansi=&quot;Cambria Math&quot;/&gt;&lt;wx:font wx:val=&quot;Cambria Math&quot;/&gt;&lt;w:b/&gt;&lt;w:i/&gt;&lt;w:sz w:val=&quot;32&quot;/&gt;&lt;/w:rPr&gt;&lt;m:t&gt;I&lt;/m:t&gt;&lt;/m:r&gt;&lt;/m:e&gt;&lt;m:sub&gt;&lt;m:r&gt;&lt;m:rPr&gt;&lt;m:sty m:val=&quot;bi&quot;/&gt;&lt;/m:rPr&gt;&lt;w:rPr&gt;&lt;w:rFonts w:ascii=&quot;Cambria Math&quot; w:h-ansi=&quot;Cambria Math&quot;/&gt;&lt;wx:font wx:val=&quot;Cambria Math&quot;/&gt;&lt;w:b/&gt;&lt;w:i/&gt;&lt;w:sz w:val=&quot;32&quot;/&gt;&lt;/w:rPr&gt;&lt;m:t&gt;L&lt;/m:t&gt;&lt;/m:r&gt;&lt;/m:sub&gt;&lt;/m:sSub&gt;&lt;m:r&gt;&lt;m:rPr&gt;&lt;m:sty m:val=&quot;bi&quot;/&gt;&lt;/m:rPr&gt;&lt;w:rPr&gt;&lt;w:rFonts w:ascii=&quot;Cambria Math&quot; w:h-ansi=&quot;Cambria Math&quot;/&gt;&lt;wx:font wx:val=&quot;Cambria Math&quot;/&gt;&lt;w:b/&gt;&lt;w:i/&gt;&lt;w:sz w:val=&quot;32&quot;/&gt;&lt;/w:rPr&gt;&lt;m:t&gt;*&lt;/m:t&gt;&lt;/m:r&gt;&lt;m:sSub&gt;&lt;m:sSubPr&gt;&lt;m:ctrlPr&gt;&lt;w:rPr&gt;&lt;w:rFonts w:ascii=&quot;Cambria Math&quot; w:h-ansi=&quot;Cambria Math&quot;/&gt;&lt;wx:font wx:val=&quot;Cambria Math&quot;/&gt;&lt;w:b/&gt;&lt;w:i/&gt;&lt;w:sz w:val=&quot;32&quot;/&gt;&lt;/w:rPr&gt;&lt;/m:ctrlPr&gt;&lt;/m:sSubPr&gt;&lt;m:e&gt;&lt;m:r&gt;&lt;m:rPr&gt;&lt;m:sty m:val=&quot;bi&quot;/&gt;&lt;/m:rPr&gt;&lt;w:rPr&gt;&lt;w:rFonts w:ascii=&quot;Cambria Math&quot; w:h-ansi=&quot;Cambria Math&quot;/&gt;&lt;wx:font wx:val=&quot;Cambria Math&quot;/&gt;&lt;w:b/&gt;&lt;w:i/&gt;&lt;w:sz w:val=&quot;32&quot;/&gt;&lt;/w:rPr&gt;&lt;m:t&gt;t&lt;/m:t&gt;&lt;/m:r&gt;&lt;/m:e&gt;&lt;m:sub&gt;&lt;m:r&gt;&lt;m:rPr&gt;&lt;m:sty m:val=&quot;bi&quot;/&gt;&lt;/m:rPr&gt;&lt;w:rPr&gt;&lt;w:rFonts w:ascii=&quot;Cambria Math&quot; w:h-ansi=&quot;Cambria Math&quot;/&gt;&lt;wx:font wx:val=&quot;Cambria Math&quot;/&gt;&lt;w:b/&gt;&lt;w:i/&gt;&lt;w:sz w:val=&quot;32&quot;/&gt;&lt;/w:rPr&gt;&lt;m:t&gt;L&lt;/m:t&gt;&lt;/m:r&gt;&lt;/m:sub&gt;&lt;/m:sSub&gt;&lt;/m:den&gt;&lt;/m:f&gt;&lt;m:r&gt;&lt;m:rPr&gt;&lt;m:sty m:val=&quot;b&quot;/&gt;&lt;/m:rPr&gt;&lt;w:rPr&gt;&lt;w:rFonts w:ascii=&quot;Cambria Math&quot; w:h-ansi=&quot;Cambria Math&quot;/&gt;&lt;wx:font wx:val=&quot;Cambria Math&quot;/&gt;&lt;w:b/&gt;&lt;w:sz w:val=&quot;32&quot;/&gt;&lt;/w:rPr&gt;&lt;m:t&gt;*100%&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3" o:title="" chromakey="white"/>
          </v:shape>
        </w:pict>
      </w:r>
      <w:r w:rsidR="00DA0D4E" w:rsidRPr="00BA76F4">
        <w:rPr>
          <w:rFonts w:eastAsia="新細明體"/>
          <w:b/>
          <w:sz w:val="20"/>
          <w:szCs w:val="20"/>
        </w:rPr>
        <w:instrText xml:space="preserve"> </w:instrText>
      </w:r>
      <w:r w:rsidR="00DA0D4E" w:rsidRPr="00BA76F4">
        <w:rPr>
          <w:rFonts w:eastAsia="新細明體"/>
          <w:b/>
          <w:sz w:val="20"/>
          <w:szCs w:val="20"/>
        </w:rPr>
        <w:fldChar w:fldCharType="end"/>
      </w:r>
      <w:r w:rsidR="00DA0D4E" w:rsidRPr="00BA76F4">
        <w:rPr>
          <w:rFonts w:eastAsia="新細明體"/>
          <w:b/>
          <w:sz w:val="20"/>
          <w:szCs w:val="20"/>
        </w:rPr>
        <w:fldChar w:fldCharType="begin"/>
      </w:r>
      <w:r w:rsidR="00DA0D4E" w:rsidRPr="00BA76F4">
        <w:rPr>
          <w:rFonts w:eastAsia="新細明體"/>
          <w:b/>
          <w:sz w:val="20"/>
          <w:szCs w:val="20"/>
        </w:rPr>
        <w:instrText xml:space="preserve"> QUOTE </w:instrText>
      </w:r>
      <w:r w:rsidR="00DA207F">
        <w:rPr>
          <w:rFonts w:eastAsia="新細明體"/>
          <w:sz w:val="20"/>
          <w:szCs w:val="20"/>
        </w:rPr>
        <w:pict>
          <v:shape id="_x0000_i1030" type="#_x0000_t75" style="width:242.25pt;height:66.75pt" equationxml="&lt;?xml version=&quot;1.0&quot; encoding=&quot;UTF-8&quot; standalone=&quot;yes&quot;?&gt;&#10;&#10;&#10;&#10;&#10;&#10;&#10;&#10;&#10;&#10;&#10;&#10;&#10;&#10;&#10;&#10;&#10;&#10;&#10;&#10;&#10;&#10;&#10;&#10;&#10;&#10;&#10;&#10;&#10;&#10;&#10;&#10;&lt;?mso-application progid=&quot;Word.Document&quot;?&gt;&#10;&#10;&#10;&#10;&#10;&#10;&#10;&#10;&#10;&#10;&#10;&#10;&#10;&#10;&#10;&#10;&#10;&#10;&#10;&#10;&#10;&#10;&#10;&#10;&#10;&#10;&#10;&#10;&#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bordersDontSurroundHeader/&gt;&lt;w:bordersDontSurroundFooter/&gt;&lt;w:defaultTabStop w:val=&quot;480&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E6D32&quot;/&gt;&lt;wsp:rsid wsp:val=&quot;000B69E3&quot;/&gt;&lt;wsp:rsid wsp:val=&quot;001011B6&quot;/&gt;&lt;wsp:rsid wsp:val=&quot;0011352B&quot;/&gt;&lt;wsp:rsid wsp:val=&quot;00150272&quot;/&gt;&lt;wsp:rsid wsp:val=&quot;0016760A&quot;/&gt;&lt;wsp:rsid wsp:val=&quot;001A67F4&quot;/&gt;&lt;wsp:rsid wsp:val=&quot;001B6CD5&quot;/&gt;&lt;wsp:rsid wsp:val=&quot;001C35AF&quot;/&gt;&lt;wsp:rsid wsp:val=&quot;00204908&quot;/&gt;&lt;wsp:rsid wsp:val=&quot;002256D3&quot;/&gt;&lt;wsp:rsid wsp:val=&quot;00246536&quot;/&gt;&lt;wsp:rsid wsp:val=&quot;0031199D&quot;/&gt;&lt;wsp:rsid wsp:val=&quot;003120AC&quot;/&gt;&lt;wsp:rsid wsp:val=&quot;00370C4D&quot;/&gt;&lt;wsp:rsid wsp:val=&quot;003C2947&quot;/&gt;&lt;wsp:rsid wsp:val=&quot;00443093&quot;/&gt;&lt;wsp:rsid wsp:val=&quot;0045706B&quot;/&gt;&lt;wsp:rsid wsp:val=&quot;00464E89&quot;/&gt;&lt;wsp:rsid wsp:val=&quot;00465194&quot;/&gt;&lt;wsp:rsid wsp:val=&quot;00474F73&quot;/&gt;&lt;wsp:rsid wsp:val=&quot;00596877&quot;/&gt;&lt;wsp:rsid wsp:val=&quot;005F140C&quot;/&gt;&lt;wsp:rsid wsp:val=&quot;00816998&quot;/&gt;&lt;wsp:rsid wsp:val=&quot;00901B62&quot;/&gt;&lt;wsp:rsid wsp:val=&quot;00942605&quot;/&gt;&lt;wsp:rsid wsp:val=&quot;00970F90&quot;/&gt;&lt;wsp:rsid wsp:val=&quot;00996B31&quot;/&gt;&lt;wsp:rsid wsp:val=&quot;009A2523&quot;/&gt;&lt;wsp:rsid wsp:val=&quot;009E2C0F&quot;/&gt;&lt;wsp:rsid wsp:val=&quot;009E6D32&quot;/&gt;&lt;wsp:rsid wsp:val=&quot;00AC3E0B&quot;/&gt;&lt;wsp:rsid wsp:val=&quot;00B904F5&quot;/&gt;&lt;wsp:rsid wsp:val=&quot;00BA7402&quot;/&gt;&lt;wsp:rsid wsp:val=&quot;00C046F2&quot;/&gt;&lt;wsp:rsid wsp:val=&quot;00C3627F&quot;/&gt;&lt;wsp:rsid wsp:val=&quot;00C5427C&quot;/&gt;&lt;wsp:rsid wsp:val=&quot;00C70343&quot;/&gt;&lt;wsp:rsid wsp:val=&quot;00C829A8&quot;/&gt;&lt;wsp:rsid wsp:val=&quot;00C91971&quot;/&gt;&lt;wsp:rsid wsp:val=&quot;00D17679&quot;/&gt;&lt;wsp:rsid wsp:val=&quot;00E36832&quot;/&gt;&lt;wsp:rsid wsp:val=&quot;00F13C92&quot;/&gt;&lt;wsp:rsid wsp:val=&quot;00F90CA5&quot;/&gt;&lt;wsp:rsid wsp:val=&quot;00F96FD9&quot;/&gt;&lt;/wsp:rsids&gt;&lt;/w:docPr&gt;&lt;w:body&gt;&lt;w:p wsp:rsidR=&quot;00000000&quot; wsp:rsidRDefault=&quot;00C70343&quot; wsp:rsidP=&quot;00C70343&quot;&gt;&lt;w:pPr&gt;&lt;w:ind w:first-line=&quot;31680&quot;/&gt;&lt;/w:pPr&gt;&lt;m:oMathPara&gt;&lt;m:oMath&gt;&lt;m:sSub&gt;&lt;m:sSubPr&gt;&lt;m:ctrlPr&gt;&lt;w:rPr&gt;&lt;w:rFonts w:ascii=&quot;Cambria Math&quot; w:fareast=&quot;?蝝唳?/wsp??&quot; w:h-ansi=&quot;Cambria Math&quot;/&gt;&lt;wx:font wx:val=&quot;Cambria Math&quot;/&gt;&lt;w:DefaDefaDefaDefaDefab/&gt;&lt;w:sz w:val=&quot;20&quot;/&gt;&lt;w:sz-cs w:C703val=&quot;20&quot;/&gt;&lt;/w:rPw:inr&gt;&lt;/m:ctfirsrlPrt-li&gt;&lt;/m:sSubPr&gt;&lt;m:e&gt;&lt;m:r&gt;&lt;m:rPr&gt;&lt;m:sty m:val=&quot;bi&quot;/&gt;&lt;/m:rPr&gt;&lt;w:rPr&gt;&lt;w:rFonts w:ascii=&quot;Cambria Math&quot; w:fareast=&quot;?蝝唳???&quot; w:h-ansi=&quot;Cambria Math&quot;/&gt;&lt;wx:font wx:val=&quot;DefaCambDefaria DefaMathDefa&quot;/&gt;&lt;Defaw:b/&gt;&lt;w:i/&gt;&lt;w:sz w:val=&quot;20&quot;/&gt;&lt;w:sz-cC703s w:val=&quot;20&quot;/&gt;&lt;/w:rPw:inr&gt;&lt;m:t&gt;庢&lt;/mtfirs:t&gt;&lt;/m:rrt-li&gt;&lt;/m:e&gt;&lt;m:sub&gt;&lt;m:r&gt;&lt;m:rPr&gt;&lt;m:sty m:val=&quot;bi&quot;/&gt;&lt;/m:rPr&gt;&lt;w:rMath&quot;Pr&gt;&lt;w:rFonts w:ascii=&quot;Cambria Math&quot; w:fareast=&quot;?蝝唳???&quot; w:h-ansi=&quot;C&quot;Defaambria MbDefaath&quot;/&gt;&lt;w Defax:font whDefax:val=&quot;C&lt;Defaambria Math&quot;/&gt;&lt;w:b/&gt;&lt;w:i/&gt;&lt;w:sz w:val=&quot;2cC7030&quot;/&gt;&lt;w:sz-cs w:val=&quot;20&quot;/Pw:in&gt;&lt;/w:rPr&gt;&lt;m:t&gt;ah&lt;firs/m:t&gt;&lt;/m:r&gt;&lt;/t-lim:sub&gt;&lt;/m:sSubath&quot;&gt;&lt;m:r&gt;&lt;m:rPr&gt;&lt;m:sty m:val=&quot;b&quot;/&gt;&lt;/m:rPr&gt;&lt;w:rPr&gt;&lt;w:rFonts w:ascii=&quot;Cambria Math&quot; w:fareast=&quot;?蝝唳???&quot;Defa w:h-ansi=&quot;CaDefambria Math&quot;/&gt;Defa&lt;wx:font wx:val=&quot;Cambria Math&quot;/&gt;&lt;w:b/&gt;&lt;w:sz wC703:val=&quot;20&quot;/&gt;&lt;w:sz-cs w:val=&quot;20w:in&quot;/&gt;&lt;/w:rPr&gt;&lt;m:t&gt;=&lt;/m:first&gt;&lt;/m:rath&quot;&gt;&lt;m:f&gt;&lt;m:ft-liPr&gt;&lt;m:ctrlPr&gt;&lt;w:rPr&gt;&lt;w:rFonts w:ascii=&quot;Cambria Math&quot; w:fareast=Math&quot;?蝝唳???areast=&quot;&quot; w:h-ansi=&quot;CambrDefaia Math&quot;/&gt;&lt;wx:fonDefat wx:val=&quot;CambriaDefa Math&quot;/&gt;&lt;w:b/&gt;&lt;w:sz w:val=&quot;20&quot;/&gt;&lt;w:sz-cs w:val=&quot;2C7030&quot;/&gt;&lt;/w:rPr&gt;&lt;/m:ctrlPr&gt;&lt;/m:fPr&gt;&lt;mw:inath&quot;:num&gt;&lt;m:sSub&gt;&lt;m:sSubPr&gt;&lt;mfirs:ctrlPr&gt;&lt;w:rPr&gt;&lt;w:rFot-lints w:ascii=&quot;Cambria Math&quot; Mathw:fareast=&quot;?蝝唳?st=&quot;??&quot; w:h-ansi=&quot;CambriaDefa Math&quot;/&gt;&lt;wx:font wx:vDefaal=&quot;Cambria Math&quot;/&gt;&lt;wDefa:b/&gt;&lt;w:i/&gt;&lt;w:sz w:val=&quot;20&quot;/&gt;&lt;w:sz-cs w:val=&quot;20&quot;/&gt;&lt;/w:C703rPr&gt;&lt;/m:ctrlPath&quot;r&gt;&lt;/m:sSubPr&gt;&lt;m:e&gt;&lt;m:r&gt;&lt;w:inm:rPr&gt;&lt;m:sty m:val=&quot;bi&quot;/&gt;&lt;/m:firsrPr&gt;&lt;w:rPr&gt;&lt;w:rFonts w:aMathst-licii=&quot;Cambria Math&quot; w:fareast=&quot;?蝝唳???&quot; wDefa:h-ansi=&quot;Cambria Math&quot;/&gt;&lt;Defawx:font wx:val=&quot;Cambria MDefaath&quot;/&gt;&lt;w:b/&gt;&lt;w:i/&gt;&lt;w:sz w:val=&quot;20&quot;/&gt;&lt;w:sz-cs w:val=&quot;20ath&quot;&quot;/&gt;C703&lt;/w:rPr&gt;&lt;m:t&gt;I&lt;/m:t&gt;&lt;/m:r&gt;&lt;/m:e&gt;&lt;m:sub&gt;&lt;mw:in:r&gt;&lt;m:rPr&gt;&lt;m:sty m:val=&quot;bi&quot;/&gt;&lt;/m:firsMathrPr&gt;&lt;w:rPr&gt;&lt;w:rFonts w:ash&quot; wcii=t-li&quot;Cambria Math&quot; w:fareast=&quot;?蝝唳???&quot; w:h-ansi=&quot;DefaCambria Math&quot;/&gt;&lt;wx:font wx:vaDefal=&quot;Cambria Math&quot;/&gt;&lt;w:b/&gt;&lt;w:i/&gt;&lt;w:sz w:ath&quot;val=&quot;20&quot;/&gt;&lt;w:sz-cs w:vaC703l=&quot;20&quot;/&gt;&lt;/w:rPr&gt;&lt;m:t&gt;E&lt;/m:t&gt;&lt;/m:r&gt;&lt;/m:sub&gt;&lt;/mw:in:sSub&gt;&lt;m:r&gt;&lt;m:rPrMath&gt;&lt;m:sty m:val=&quot;bi&quot;/&gt;firs&lt;/m:rh&quot; wPr&gt;&lt;w:rPr&gt;&lt;w:rFonts w:ascii=tfare-li&quot;Cambria Math&quot; w:fareast=&quot;??a敦???&quot; w:h-ansi=&quot;Cambria Math&quot;Defa/&gt;&lt;wx:font wx:val=&quot;Camth&quot;bria Math&quot;/&gt;&lt;w:b/&gt;&lt;w:i/&gt;&lt;w:sz w:val=&quot;20&quot;/&gt;&lt;C703w:sz-cs w:val=&quot;20&quot;/&gt;&lt;/w:rPr&gt;&lt;m:t&gt;*&lt;/m:t&gt;&lt;/m:r&gt;&lt;m:wath:insSub&gt;&lt;m:sSubPr&gt;&lt;m:ctrlPr&gt;&lt;w:rP&quot; wr&gt;&lt;w:rFontsfirs w:ascii=&quot;Cambria areMath&quot; w:fareast=&quot;??t-li啁敦???&quot;=&quot;??a w:h-ansi=&quot;Cambria Math&quot;/&gt;&lt;wx:font wxefa:vamth&quot;l=&quot;Cambria Math&quot;/&gt;&lt;w:b/&gt;&lt;w:i/&gt;&lt;w:sz w:val=&quot;20&quot;/&gt;&lt;w:sz-cs w:val=&quot;20703&quot;/&gt;&lt;/w:rPr&gt;&lt;/m:ctrlPr&gt;&lt;/m:sSubPwathr&gt;&lt;m:e&gt;&lt;m:r&gt;&lt;m:rPr&gt;&lt;m::insty m:val=&quot;P&quot; wbi&quot;/&gt;&lt;/m:rPr&gt;&lt;w:rPr&gt;&lt;w:rFonts w:asir arescii=&quot;Cambria Math&quot; w:fareast=&quot;?蝝唳???a?&quot;??t-li??&quot; w:h-ansi=&quot;Cambrmth&quot;ia Math&quot;/&gt;&lt;wxefax:font wx:val=&quot;Cambria Math&quot;/&gt;&lt;w:b/&gt;&lt;w:i/&gt;&lt;w:sz w:val=&quot;20&quot;/&gt;&lt;w:sz-cs w:v0703al=&quot;20&quot;/&gt;&lt;/wwath:rPr&gt;&lt;m:t&gt;t&lt;/m:t&gt;&lt;/m:r&gt;&lt;/m:e&gt;&lt;m:sub&gt;&lt;m:rP&quot; w&gt;&lt;m:::inrPr&gt;&lt;m:sty m:val=&quot;bi&quot;/&gt;&lt;/m:rPr&gt;&lt; arew:rPr&gt;&lt;w:rFonts sirsw:ascii=&quot;Cambria Math&quot; aw:fareast=&quot;??&quot;敦???&quot; t-liw:h-ansi=&quot;Cambrxefaia Math&quot;/&gt;&lt;wx:font wx:val=&quot;Cambria Math&quot;/&gt;&lt;w:b/&gt;&lt;w:i/&gt;&lt;w:sz w:val=&quot;20&quot;/&gt;&lt;w:waths0703z-cs w:val=&quot;20&quot;/&gt;&lt;/w:rPr&gt;&lt;m:t&gt;E&lt;/m:t&gt;&lt;/P&quot; wm:r&gt;&lt;/m:sub&gt;&lt;/m:sSub&gt;::in&lt;/m:num&gt;&lt;m:den&gt;&lt;m:s areSub&gt;&lt;m:sSubPr&gt;&lt;m:ctrlPr&gt;&lt;w:rPr&gt;&lt;wsirs:rFontsh&quot; ?&quot;a w:ascii=&quot;Cambria Math&quot; w:fareast=&quot;?蝝唳?t-lxefai??&quot; w:h-ansi=&quot;Cambria Math&quot;/&gt;&lt;wx:font wx:val=&quot;Cambria Mathwath&quot;/&gt;&lt;w:b/&gt;&lt;w:i/&gt;&lt;w:sz 0703w:val=&quot;20&quot;/&gt;&lt;w:sz-cs w:P&quot; wval=&quot;20&quot;/&gt;&lt;/w:rPr&gt;&lt;/m:ctrlPr&gt;&lt;/m:sSubPr&gt;&lt;::inm:e are&gt;&lt;m:r&gt;&lt;m:rPr&gt;&lt;m:sty m:val=&quot;bi&quot;/&gt;&lt;/m ?&quot;:rPr&gt;&lt;w:rPr&gt;&lt;h&quot; aw:rFosirsnts w:ascii=&quot;Cambria Math&quot; w:fareast=&quot;?蝝fa唳???&quot; w:h-t-liansi=&quot;Cambria Math&quot;/&gt;&lt;wx:fonwatht wx:val=&quot;Cambria Math&quot;/&gt;&lt;w:b/&gt;&lt;w:i/&gt;&lt;w0703:sz w:valP&quot; w=&quot;20&quot;/&gt;&lt;w:sz-cs w:val=&quot;20&quot;/&gt;&lt;/w:rPr&gt;&lt;m:t&gt;I&lt;/m:t&gt;&lt;/m: arer&gt;&lt;/m:e::in&gt;&lt;m:sub&gt;&lt;m:r ?&quot;&gt;&lt;m:rPr&gt;&lt;m:sty m:val=&quot;bi&quot;/&gt;&lt;/h&quot; am:rPr&gt;&lt;w:rPr&gt;&lt;w:rFosirsnts w:ascii=&quot;Cambria Math&quot; w:fafareast=&quot;?蝝唳???&quot; w:h-ansit-wathli=&quot;Cambria Math&quot;/&gt;&lt;wx:font wx:val=&quot;Cambria Math&quot;/&gt;&lt;w:b/P&quot; w&gt;0703&lt;w:i/&gt;&lt;w:sz w:val=&quot;20&quot;/&gt;&lt;w:sz-cs w:val=&quot;20&quot;/&gt;&lt;/w:rP arer&gt;&lt;m:t&gt;L&lt;/m ?&quot;:t&gt;&lt;/m:r&gt;&lt;::in/m:sub&gt;&lt;/m:sSub&gt;&lt;m:r&gt;&lt;m:rPr&gt;&lt;m:h&quot; asty m:val=&quot;bi&quot;/&gt;&lt;/m:rPr&gt;&lt;w:rPr&gt;&lt;wsirs:rFonts w:ascii=&quot;Cafafambria Math&quot; w:fareast=&quot;?蝝唳???&quot; w:h-ansit-li=&quot;Cambria Math&quot;/&gt;&lt;wx:font P&quot; wwx:val=&quot;Cambria M0703ath&quot;/&gt;&lt;w:b/&gt;&lt;w:i/&gt;&lt;w:sz w:val=&quot;20&quot;/&gt;&lt;w: aresz- ?&quot;cs w:val=&quot;20&quot;/&gt;&lt;/w:rPr&gt;&lt;m:t&gt;*&lt;/m:t::in&gt;&lt;/m:r&gt;&lt;m:sSub&gt;&lt;m:sh&quot; aSubPr&gt;&lt;m:ctrlPr&gt;&lt;w:rPr&gt;&lt;w:rFonts w:ascii=&quot;Cambriasirs Math&quot; faf w:faw:fareast=&quot;?蝝唳???&quot; w:h-ansi=&quot;Cambria Math&quot;/&gt;&lt;wx:font wxt-P&quot; wli:val=&quot;Cambria Math&quot;/&gt;&lt;w:b/&gt;&lt;w:i0703/&gt;&lt;w:sz w:val=&quot;20&quot;/&gt;&lt;w ?&quot;:sz-c ares w:val=&quot;20&quot;/&gt;&lt;/w:rPr&gt;&lt;/m:ctrlPr&gt;&lt;/m:sSubPr&gt;&lt;m:e&gt;&lt;m:r::in&gt;&lt;m:rPrh&quot; a&gt;&lt;m:sty m:val=&quot;bi&quot;/&gt;&lt;/m:rPr&gt;&lt;w:rPr&gt;&lt;w:rFonts w:asci w:fi=&quot;Cambria Mafafatsirsh&quot; w:fareast=&quot;?蝝唳???&quot; w:h-ansi=&quot;Cambria P&quot; wMath&quot;/&gt;&lt;wx:font wx:val=&quot;Cat-limbria Math&quot;/&gt;&lt;w:b/&gt;07 ?&quot;03&lt;w:i/&gt;&lt;w:sz w:v areal=&quot;20&quot;/&gt;&lt;w:sz-cs w:val=&quot;20&quot;/&gt;&lt;/w:rPr&gt;&lt;m:t&gt;t&lt;/m:t&gt;&lt;/m:r&gt;&lt;/m:e&gt;&lt;m:subh&quot; a&gt;::in&lt;m:r&gt;&lt;m:rPr&gt;&lt;m:sty m:val=&quot;bi&quot;/&gt;&lt;/m w:f:rPr&gt;&lt;w:rPr&gt;&lt;w:rFonts w:asciifafa=&quot;Cambria Matsirsh&quot; w:fareast=&quot;?蝝唳?&quot; w??&quot; w:h-ansi=&quot;Cambria Math&quot;/&gt;&lt;wx:font wx:v ?&quot;al=&quot;Cambrit-lia Math&quot;0703/&gt;&lt; arew:b/&gt;&lt;w:i/&gt;&lt;w:sz w:val=&quot;20&quot;/&gt;&lt;w:sz-cs w:val=&quot;20&quot;/&gt;&lt;/w:rPr&gt;&lt;m:t&gt;L&lt;/m:t&gt;&lt;/h&quot; am:r&gt;&lt;/m:sub&gt;&lt;::in/m:sSub&gt;&lt;/m w:f:den&gt;&lt;/m:f&gt;&lt;m:r&gt;&lt;m:rPr&gt;&lt;m:sty m:val=&quot;b&quot;/&gt;&lt;/mfafa:rPr&gt;&lt;w:rPr&gt;&lt;w:rFonts w:asiwrsscii=&quot;Cambria Math&quot; w:fareast=&quot;?蝝??&quot;???&quot; w:h-ansi=&quot;Cambria Math&quot;/&gt;&lt;wx: arefont 0703wt-lix:val=&quot;Cambria Math&quot;/&gt;&lt;w:b/&gt;&lt;w:sz w:val=&quot;20&quot;/&gt;&lt;w:sz-cs w:val=&quot;h&quot; a20&quot;/&gt;&lt;/w:rPr&gt;&lt;m:t&gt;* w:f100%&lt;/::inm:t&gt;&lt;/m:r&gt;&lt;/m:oMath&gt;&lt;/m:oMathPara&gt;&lt;/w:p&gt;&lt;w:sectfafaPr wsp:rsidR=&quot;0asiw0000000&quot;&gt;&lt;w:pgSz w:w=&quot;sirs12240?&quot;&quot; w:h=&quot;15840&quot;/&gt;&lt;w:pgMar w:top=&quot;1440&quot; w:right=&quot;1800&quot; w:bottom=&quot;1440&quot; w:left=&quot;1800&quot; w:header=&quot;720&quot; w:footer=&quot;720&quot; w:gutter=&quot;0&quot;/&gt;&lt;w:cols w:space=&quot;720&quot;/&gt;&lt;/w:sectPr&gt;&lt;/w:body&gt;&lt;/w:wordDocument&gt;">
            <v:imagedata r:id="rId14" o:title="" chromakey="white"/>
          </v:shape>
        </w:pict>
      </w:r>
      <w:r w:rsidR="00DA0D4E" w:rsidRPr="00BA76F4">
        <w:rPr>
          <w:rFonts w:eastAsia="新細明體"/>
          <w:b/>
          <w:sz w:val="20"/>
          <w:szCs w:val="20"/>
        </w:rPr>
        <w:instrText xml:space="preserve"> </w:instrText>
      </w:r>
      <w:r w:rsidR="00DA0D4E" w:rsidRPr="00BA76F4">
        <w:rPr>
          <w:rFonts w:eastAsia="新細明體"/>
          <w:b/>
          <w:sz w:val="20"/>
          <w:szCs w:val="20"/>
        </w:rPr>
        <w:fldChar w:fldCharType="end"/>
      </w:r>
      <w:r w:rsidR="00DA0D4E" w:rsidRPr="00BA76F4">
        <w:rPr>
          <w:rFonts w:eastAsia="新細明體"/>
          <w:b/>
          <w:sz w:val="20"/>
          <w:szCs w:val="20"/>
        </w:rPr>
        <w:t xml:space="preserve"> </w:t>
      </w:r>
      <w:r w:rsidR="00DA0D4E" w:rsidRPr="00BA76F4">
        <w:rPr>
          <w:rFonts w:eastAsia="新細明體"/>
          <w:sz w:val="20"/>
          <w:szCs w:val="20"/>
        </w:rPr>
        <w:t xml:space="preserve">                                                              </w:t>
      </w:r>
      <w:r w:rsidR="00DA0D4E">
        <w:rPr>
          <w:rFonts w:eastAsia="新細明體"/>
          <w:sz w:val="20"/>
          <w:szCs w:val="20"/>
        </w:rPr>
        <w:t>(1</w:t>
      </w:r>
      <w:r w:rsidR="00DA0D4E" w:rsidRPr="00AB3F87">
        <w:rPr>
          <w:rFonts w:eastAsia="新細明體"/>
          <w:sz w:val="20"/>
          <w:szCs w:val="20"/>
        </w:rPr>
        <w:t>)</w:t>
      </w:r>
    </w:p>
    <w:p w:rsidR="00DA0D4E" w:rsidRPr="00BA76F4" w:rsidRDefault="00DA0D4E" w:rsidP="00332058">
      <w:pPr>
        <w:adjustRightInd w:val="0"/>
        <w:snapToGrid w:val="0"/>
        <w:spacing w:line="240" w:lineRule="auto"/>
        <w:ind w:firstLineChars="0" w:firstLine="0"/>
        <w:jc w:val="both"/>
        <w:rPr>
          <w:rFonts w:eastAsia="新細明體"/>
          <w:sz w:val="20"/>
          <w:szCs w:val="20"/>
        </w:rPr>
      </w:pPr>
      <w:r w:rsidRPr="00BA76F4">
        <w:rPr>
          <w:rFonts w:eastAsia="新細明體"/>
          <w:sz w:val="20"/>
          <w:szCs w:val="20"/>
        </w:rPr>
        <w:t>I</w:t>
      </w:r>
      <w:r w:rsidRPr="00BA76F4">
        <w:rPr>
          <w:rFonts w:eastAsia="新細明體"/>
          <w:sz w:val="20"/>
          <w:szCs w:val="20"/>
          <w:vertAlign w:val="subscript"/>
        </w:rPr>
        <w:t xml:space="preserve">E </w:t>
      </w:r>
      <w:r w:rsidRPr="00BA76F4">
        <w:rPr>
          <w:rFonts w:eastAsia="新細明體"/>
          <w:sz w:val="20"/>
          <w:szCs w:val="20"/>
        </w:rPr>
        <w:t>=</w:t>
      </w:r>
      <w:r w:rsidRPr="00BA76F4">
        <w:rPr>
          <w:rFonts w:eastAsia="新細明體" w:hint="eastAsia"/>
          <w:sz w:val="20"/>
          <w:szCs w:val="20"/>
        </w:rPr>
        <w:t>放電電流，</w:t>
      </w:r>
      <w:r w:rsidRPr="00BA76F4">
        <w:rPr>
          <w:rFonts w:eastAsia="新細明體"/>
          <w:sz w:val="20"/>
          <w:szCs w:val="20"/>
        </w:rPr>
        <w:t>A</w:t>
      </w:r>
    </w:p>
    <w:p w:rsidR="00DA0D4E" w:rsidRPr="00BA76F4" w:rsidRDefault="00DA0D4E" w:rsidP="00332058">
      <w:pPr>
        <w:adjustRightInd w:val="0"/>
        <w:snapToGrid w:val="0"/>
        <w:spacing w:line="240" w:lineRule="auto"/>
        <w:ind w:firstLineChars="0" w:firstLine="0"/>
        <w:jc w:val="both"/>
        <w:rPr>
          <w:rFonts w:eastAsia="新細明體"/>
          <w:sz w:val="20"/>
          <w:szCs w:val="20"/>
        </w:rPr>
      </w:pPr>
      <w:r w:rsidRPr="00BA76F4">
        <w:rPr>
          <w:rFonts w:eastAsia="新細明體"/>
          <w:sz w:val="20"/>
          <w:szCs w:val="20"/>
        </w:rPr>
        <w:t>I</w:t>
      </w:r>
      <w:r w:rsidRPr="00BA76F4">
        <w:rPr>
          <w:rFonts w:eastAsia="新細明體"/>
          <w:sz w:val="20"/>
          <w:szCs w:val="20"/>
          <w:vertAlign w:val="subscript"/>
        </w:rPr>
        <w:t>L</w:t>
      </w:r>
      <w:r w:rsidRPr="00BA76F4">
        <w:rPr>
          <w:rFonts w:eastAsia="新細明體"/>
          <w:sz w:val="20"/>
          <w:szCs w:val="20"/>
        </w:rPr>
        <w:t>=</w:t>
      </w:r>
      <w:r w:rsidRPr="00BA76F4">
        <w:rPr>
          <w:rFonts w:eastAsia="新細明體" w:hint="eastAsia"/>
          <w:sz w:val="20"/>
          <w:szCs w:val="20"/>
        </w:rPr>
        <w:t>充電電流，</w:t>
      </w:r>
      <w:r w:rsidRPr="00BA76F4">
        <w:rPr>
          <w:rFonts w:eastAsia="新細明體"/>
          <w:sz w:val="20"/>
          <w:szCs w:val="20"/>
        </w:rPr>
        <w:t>A</w:t>
      </w:r>
    </w:p>
    <w:p w:rsidR="00DA0D4E" w:rsidRPr="00BA76F4" w:rsidRDefault="00DA0D4E" w:rsidP="00332058">
      <w:pPr>
        <w:adjustRightInd w:val="0"/>
        <w:snapToGrid w:val="0"/>
        <w:spacing w:line="240" w:lineRule="auto"/>
        <w:ind w:firstLineChars="0" w:firstLine="0"/>
        <w:jc w:val="both"/>
        <w:rPr>
          <w:rFonts w:eastAsia="新細明體"/>
          <w:sz w:val="20"/>
          <w:szCs w:val="20"/>
        </w:rPr>
      </w:pPr>
      <w:r w:rsidRPr="00BA76F4">
        <w:rPr>
          <w:rFonts w:eastAsia="新細明體"/>
          <w:sz w:val="20"/>
          <w:szCs w:val="20"/>
        </w:rPr>
        <w:t>t</w:t>
      </w:r>
      <w:r w:rsidRPr="00BA76F4">
        <w:rPr>
          <w:rFonts w:eastAsia="新細明體"/>
          <w:sz w:val="20"/>
          <w:szCs w:val="20"/>
          <w:vertAlign w:val="subscript"/>
        </w:rPr>
        <w:t>E</w:t>
      </w:r>
      <w:r w:rsidRPr="00BA76F4">
        <w:rPr>
          <w:rFonts w:eastAsia="新細明體"/>
          <w:sz w:val="20"/>
          <w:szCs w:val="20"/>
        </w:rPr>
        <w:t>=</w:t>
      </w:r>
      <w:r w:rsidRPr="00BA76F4">
        <w:rPr>
          <w:rFonts w:eastAsia="新細明體" w:hint="eastAsia"/>
          <w:sz w:val="20"/>
          <w:szCs w:val="20"/>
        </w:rPr>
        <w:t>放電時間，</w:t>
      </w:r>
      <w:r w:rsidRPr="00BA76F4">
        <w:rPr>
          <w:rFonts w:eastAsia="新細明體"/>
          <w:sz w:val="20"/>
          <w:szCs w:val="20"/>
        </w:rPr>
        <w:t>h</w:t>
      </w:r>
    </w:p>
    <w:p w:rsidR="00DA0D4E" w:rsidRPr="00BA76F4" w:rsidRDefault="00DA0D4E" w:rsidP="00332058">
      <w:pPr>
        <w:adjustRightInd w:val="0"/>
        <w:snapToGrid w:val="0"/>
        <w:spacing w:line="240" w:lineRule="auto"/>
        <w:ind w:firstLineChars="0" w:firstLine="0"/>
        <w:jc w:val="both"/>
        <w:rPr>
          <w:rFonts w:eastAsia="新細明體"/>
          <w:sz w:val="20"/>
          <w:szCs w:val="20"/>
        </w:rPr>
      </w:pPr>
      <w:r w:rsidRPr="00BA76F4">
        <w:rPr>
          <w:rFonts w:eastAsia="新細明體"/>
          <w:sz w:val="20"/>
          <w:szCs w:val="20"/>
        </w:rPr>
        <w:t>t</w:t>
      </w:r>
      <w:r w:rsidRPr="00BA76F4">
        <w:rPr>
          <w:rFonts w:eastAsia="新細明體"/>
          <w:sz w:val="20"/>
          <w:szCs w:val="20"/>
          <w:vertAlign w:val="subscript"/>
        </w:rPr>
        <w:t>L</w:t>
      </w:r>
      <w:r w:rsidRPr="00BA76F4">
        <w:rPr>
          <w:rFonts w:eastAsia="新細明體"/>
          <w:sz w:val="20"/>
          <w:szCs w:val="20"/>
        </w:rPr>
        <w:t>=</w:t>
      </w:r>
      <w:r w:rsidRPr="00BA76F4">
        <w:rPr>
          <w:rFonts w:eastAsia="新細明體" w:hint="eastAsia"/>
          <w:sz w:val="20"/>
          <w:szCs w:val="20"/>
        </w:rPr>
        <w:t>充電時間，</w:t>
      </w:r>
      <w:r w:rsidRPr="00BA76F4">
        <w:rPr>
          <w:rFonts w:eastAsia="新細明體"/>
          <w:sz w:val="20"/>
          <w:szCs w:val="20"/>
        </w:rPr>
        <w:t>h</w:t>
      </w:r>
    </w:p>
    <w:p w:rsidR="00DA0D4E" w:rsidRPr="00BA76F4" w:rsidRDefault="00DA0D4E" w:rsidP="00332058">
      <w:pPr>
        <w:adjustRightInd w:val="0"/>
        <w:snapToGrid w:val="0"/>
        <w:spacing w:line="240" w:lineRule="auto"/>
        <w:ind w:firstLineChars="202" w:firstLine="404"/>
        <w:jc w:val="both"/>
        <w:rPr>
          <w:rFonts w:eastAsia="新細明體"/>
          <w:sz w:val="20"/>
          <w:szCs w:val="20"/>
        </w:rPr>
      </w:pPr>
      <w:r w:rsidRPr="00BA76F4">
        <w:rPr>
          <w:rFonts w:eastAsia="新細明體"/>
          <w:sz w:val="20"/>
          <w:szCs w:val="20"/>
        </w:rPr>
        <w:t>η</w:t>
      </w:r>
      <w:r w:rsidRPr="00BA76F4">
        <w:rPr>
          <w:rFonts w:eastAsia="新細明體"/>
          <w:sz w:val="20"/>
          <w:szCs w:val="20"/>
          <w:vertAlign w:val="subscript"/>
        </w:rPr>
        <w:t xml:space="preserve">ah </w:t>
      </w:r>
      <w:r w:rsidRPr="00BA76F4">
        <w:rPr>
          <w:rFonts w:eastAsia="新細明體" w:hint="eastAsia"/>
          <w:sz w:val="20"/>
          <w:szCs w:val="20"/>
        </w:rPr>
        <w:t>和充放電的電流大小有關，</w:t>
      </w:r>
      <w:r w:rsidRPr="00BA76F4">
        <w:rPr>
          <w:rFonts w:eastAsia="新細明體"/>
          <w:sz w:val="20"/>
          <w:szCs w:val="20"/>
        </w:rPr>
        <w:t>η</w:t>
      </w:r>
      <w:r w:rsidRPr="00BA76F4">
        <w:rPr>
          <w:rFonts w:eastAsia="新細明體"/>
          <w:sz w:val="20"/>
          <w:szCs w:val="20"/>
          <w:vertAlign w:val="subscript"/>
        </w:rPr>
        <w:t xml:space="preserve">ah </w:t>
      </w:r>
      <w:r w:rsidRPr="00BA76F4">
        <w:rPr>
          <w:rFonts w:eastAsia="新細明體" w:hint="eastAsia"/>
          <w:sz w:val="20"/>
          <w:szCs w:val="20"/>
        </w:rPr>
        <w:t>即是放電的電流量除以充電至電瓶原來的狀態所需要的電流量。</w:t>
      </w:r>
    </w:p>
    <w:p w:rsidR="00DA0D4E" w:rsidRPr="00BA76F4" w:rsidRDefault="00DA0D4E" w:rsidP="00332058">
      <w:pPr>
        <w:adjustRightInd w:val="0"/>
        <w:snapToGrid w:val="0"/>
        <w:spacing w:line="240" w:lineRule="auto"/>
        <w:ind w:firstLineChars="202" w:firstLine="404"/>
        <w:jc w:val="both"/>
        <w:rPr>
          <w:rFonts w:eastAsia="新細明體"/>
          <w:sz w:val="20"/>
          <w:szCs w:val="20"/>
        </w:rPr>
      </w:pPr>
      <w:r w:rsidRPr="00BA76F4">
        <w:rPr>
          <w:rFonts w:eastAsia="新細明體" w:hint="eastAsia"/>
          <w:sz w:val="20"/>
          <w:szCs w:val="20"/>
        </w:rPr>
        <w:t>電瓶效率本來是做靜態測試，定電流做充電與放電，但實際在車輛上無法讓發電機作定電流之充電，故採用下列方式做三種不同的條件測試，實驗程序依序為</w:t>
      </w:r>
      <w:r w:rsidRPr="00BA76F4">
        <w:rPr>
          <w:rFonts w:eastAsia="新細明體"/>
          <w:sz w:val="20"/>
          <w:szCs w:val="20"/>
        </w:rPr>
        <w:t>:</w:t>
      </w:r>
    </w:p>
    <w:p w:rsidR="00DA0D4E" w:rsidRPr="00BA76F4" w:rsidRDefault="00DA0D4E" w:rsidP="00332058">
      <w:pPr>
        <w:pStyle w:val="aa"/>
        <w:adjustRightInd w:val="0"/>
        <w:snapToGrid w:val="0"/>
        <w:spacing w:line="240" w:lineRule="auto"/>
        <w:ind w:leftChars="0" w:left="0" w:firstLineChars="0" w:firstLine="0"/>
        <w:jc w:val="both"/>
        <w:rPr>
          <w:rFonts w:eastAsia="新細明體"/>
          <w:sz w:val="20"/>
        </w:rPr>
      </w:pPr>
      <w:r w:rsidRPr="00BA76F4">
        <w:rPr>
          <w:rFonts w:eastAsia="新細明體"/>
          <w:sz w:val="20"/>
        </w:rPr>
        <w:t>(1)</w:t>
      </w:r>
      <w:r w:rsidRPr="00BA76F4">
        <w:rPr>
          <w:rFonts w:eastAsia="新細明體" w:hint="eastAsia"/>
          <w:sz w:val="20"/>
        </w:rPr>
        <w:t>條件一</w:t>
      </w:r>
      <w:r w:rsidRPr="00BA76F4">
        <w:rPr>
          <w:rFonts w:eastAsia="新細明體"/>
          <w:sz w:val="20"/>
        </w:rPr>
        <w:t>:</w:t>
      </w:r>
    </w:p>
    <w:p w:rsidR="00DA0D4E" w:rsidRPr="00BA76F4" w:rsidRDefault="00DA0D4E" w:rsidP="00332058">
      <w:pPr>
        <w:adjustRightInd w:val="0"/>
        <w:snapToGrid w:val="0"/>
        <w:spacing w:line="240" w:lineRule="auto"/>
        <w:ind w:firstLine="400"/>
        <w:jc w:val="both"/>
        <w:rPr>
          <w:rFonts w:eastAsia="新細明體"/>
          <w:sz w:val="20"/>
          <w:szCs w:val="20"/>
        </w:rPr>
      </w:pPr>
      <w:r w:rsidRPr="00BA76F4">
        <w:rPr>
          <w:rFonts w:eastAsia="新細明體" w:hint="eastAsia"/>
          <w:sz w:val="20"/>
          <w:szCs w:val="20"/>
        </w:rPr>
        <w:t>實驗車輛凸輪軸感應器插頭移除，作用點火開關使起動馬達運轉</w:t>
      </w:r>
      <w:r w:rsidRPr="00BA76F4">
        <w:rPr>
          <w:rFonts w:eastAsia="新細明體"/>
          <w:sz w:val="20"/>
          <w:szCs w:val="20"/>
        </w:rPr>
        <w:t>10</w:t>
      </w:r>
      <w:r w:rsidRPr="00BA76F4">
        <w:rPr>
          <w:rFonts w:eastAsia="新細明體" w:hint="eastAsia"/>
          <w:sz w:val="20"/>
          <w:szCs w:val="20"/>
        </w:rPr>
        <w:t>秒鐘，此時電瓶耗電量為</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120A</w:t>
        </w:r>
      </w:smartTag>
      <w:r w:rsidRPr="00BA76F4">
        <w:rPr>
          <w:rFonts w:eastAsia="新細明體" w:hint="eastAsia"/>
          <w:sz w:val="20"/>
          <w:szCs w:val="20"/>
        </w:rPr>
        <w:t>，裝回凸輪軸感應器插頭，發動車輛。記錄車輛發動後，發電機開始對電瓶充電電流，以及每分鐘紀錄一筆資料，直到充電電流完全穩定為止。</w:t>
      </w:r>
    </w:p>
    <w:p w:rsidR="00DA0D4E" w:rsidRPr="00BA76F4" w:rsidRDefault="00DA0D4E" w:rsidP="00332058">
      <w:pPr>
        <w:adjustRightInd w:val="0"/>
        <w:snapToGrid w:val="0"/>
        <w:spacing w:line="240" w:lineRule="auto"/>
        <w:ind w:firstLineChars="0" w:firstLine="0"/>
        <w:jc w:val="both"/>
        <w:rPr>
          <w:rFonts w:eastAsia="新細明體"/>
          <w:sz w:val="20"/>
          <w:szCs w:val="20"/>
        </w:rPr>
      </w:pPr>
      <w:r w:rsidRPr="00BA76F4">
        <w:rPr>
          <w:rFonts w:eastAsia="新細明體"/>
          <w:sz w:val="20"/>
          <w:szCs w:val="20"/>
        </w:rPr>
        <w:t>(2)</w:t>
      </w:r>
      <w:r w:rsidRPr="00BA76F4">
        <w:rPr>
          <w:rFonts w:eastAsia="新細明體" w:hint="eastAsia"/>
          <w:sz w:val="20"/>
          <w:szCs w:val="20"/>
        </w:rPr>
        <w:t>條件二</w:t>
      </w:r>
      <w:r w:rsidRPr="00BA76F4">
        <w:rPr>
          <w:rFonts w:eastAsia="新細明體"/>
          <w:sz w:val="20"/>
          <w:szCs w:val="20"/>
        </w:rPr>
        <w:t>:</w:t>
      </w:r>
    </w:p>
    <w:p w:rsidR="00DA0D4E" w:rsidRPr="00BA76F4" w:rsidRDefault="00DA0D4E" w:rsidP="00332058">
      <w:pPr>
        <w:adjustRightInd w:val="0"/>
        <w:snapToGrid w:val="0"/>
        <w:spacing w:line="240" w:lineRule="auto"/>
        <w:ind w:firstLine="400"/>
        <w:jc w:val="both"/>
        <w:rPr>
          <w:rFonts w:eastAsia="新細明體"/>
          <w:sz w:val="20"/>
          <w:szCs w:val="20"/>
        </w:rPr>
      </w:pPr>
      <w:r w:rsidRPr="00BA76F4">
        <w:rPr>
          <w:rFonts w:eastAsia="新細明體" w:hint="eastAsia"/>
          <w:sz w:val="20"/>
          <w:szCs w:val="20"/>
        </w:rPr>
        <w:t>將實驗車輛點火開關關閉，開啟近燈</w:t>
      </w:r>
      <w:r w:rsidRPr="00BA76F4">
        <w:rPr>
          <w:rFonts w:eastAsia="新細明體"/>
          <w:sz w:val="20"/>
          <w:szCs w:val="20"/>
        </w:rPr>
        <w:t>10</w:t>
      </w:r>
      <w:r w:rsidRPr="00BA76F4">
        <w:rPr>
          <w:rFonts w:eastAsia="新細明體" w:hint="eastAsia"/>
          <w:sz w:val="20"/>
          <w:szCs w:val="20"/>
        </w:rPr>
        <w:t>分鐘，此時電瓶耗電量為</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12A</w:t>
        </w:r>
      </w:smartTag>
      <w:r w:rsidRPr="00BA76F4">
        <w:rPr>
          <w:rFonts w:eastAsia="新細明體"/>
          <w:sz w:val="20"/>
          <w:szCs w:val="20"/>
        </w:rPr>
        <w:t>(</w:t>
      </w:r>
      <w:r w:rsidRPr="00BA76F4">
        <w:rPr>
          <w:rFonts w:eastAsia="新細明體" w:hint="eastAsia"/>
          <w:sz w:val="20"/>
          <w:szCs w:val="20"/>
        </w:rPr>
        <w:t>中度放電</w:t>
      </w:r>
      <w:r w:rsidRPr="00BA76F4">
        <w:rPr>
          <w:rFonts w:eastAsia="新細明體"/>
          <w:sz w:val="20"/>
          <w:szCs w:val="20"/>
        </w:rPr>
        <w:t>)</w:t>
      </w:r>
      <w:r w:rsidRPr="00BA76F4">
        <w:rPr>
          <w:rFonts w:eastAsia="新細明體" w:hint="eastAsia"/>
          <w:sz w:val="20"/>
          <w:szCs w:val="20"/>
        </w:rPr>
        <w:t>。關閉大燈發動車輛，測量並記錄充電電流。</w:t>
      </w:r>
    </w:p>
    <w:p w:rsidR="00DA0D4E" w:rsidRPr="00BA76F4" w:rsidRDefault="00DA0D4E" w:rsidP="00332058">
      <w:pPr>
        <w:adjustRightInd w:val="0"/>
        <w:snapToGrid w:val="0"/>
        <w:spacing w:line="240" w:lineRule="auto"/>
        <w:ind w:firstLineChars="0" w:firstLine="0"/>
        <w:jc w:val="both"/>
        <w:rPr>
          <w:rFonts w:eastAsia="新細明體"/>
          <w:sz w:val="20"/>
          <w:szCs w:val="20"/>
        </w:rPr>
      </w:pPr>
      <w:r w:rsidRPr="00BA76F4">
        <w:rPr>
          <w:rFonts w:eastAsia="新細明體"/>
          <w:sz w:val="20"/>
          <w:szCs w:val="20"/>
        </w:rPr>
        <w:t>(3)</w:t>
      </w:r>
      <w:r w:rsidRPr="00BA76F4">
        <w:rPr>
          <w:rFonts w:eastAsia="新細明體" w:hint="eastAsia"/>
          <w:sz w:val="20"/>
          <w:szCs w:val="20"/>
        </w:rPr>
        <w:t>條件三</w:t>
      </w:r>
      <w:r w:rsidRPr="00BA76F4">
        <w:rPr>
          <w:rFonts w:eastAsia="新細明體"/>
          <w:sz w:val="20"/>
          <w:szCs w:val="20"/>
        </w:rPr>
        <w:t>:</w:t>
      </w:r>
    </w:p>
    <w:p w:rsidR="00DA0D4E" w:rsidRPr="00BA76F4" w:rsidRDefault="00DA0D4E" w:rsidP="00332058">
      <w:pPr>
        <w:adjustRightInd w:val="0"/>
        <w:snapToGrid w:val="0"/>
        <w:spacing w:line="240" w:lineRule="auto"/>
        <w:ind w:firstLineChars="0" w:firstLine="0"/>
        <w:jc w:val="both"/>
        <w:rPr>
          <w:rFonts w:eastAsia="新細明體"/>
          <w:sz w:val="20"/>
          <w:szCs w:val="20"/>
        </w:rPr>
      </w:pPr>
      <w:r w:rsidRPr="00BA76F4">
        <w:rPr>
          <w:rFonts w:eastAsia="新細明體" w:hint="eastAsia"/>
          <w:sz w:val="20"/>
          <w:szCs w:val="20"/>
        </w:rPr>
        <w:t>將實驗車點火開關開至</w:t>
      </w:r>
      <w:r w:rsidRPr="00BA76F4">
        <w:rPr>
          <w:rFonts w:eastAsia="新細明體"/>
          <w:sz w:val="20"/>
          <w:szCs w:val="20"/>
        </w:rPr>
        <w:t>ON</w:t>
      </w:r>
      <w:r w:rsidRPr="00BA76F4">
        <w:rPr>
          <w:rFonts w:eastAsia="新細明體" w:hint="eastAsia"/>
          <w:sz w:val="20"/>
          <w:szCs w:val="20"/>
        </w:rPr>
        <w:t>、開啟近燈及遠燈、鼓風機馬達開至最高速，此時電瓶耗電量為</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35A</w:t>
        </w:r>
      </w:smartTag>
      <w:r w:rsidRPr="00BA76F4">
        <w:rPr>
          <w:rFonts w:eastAsia="新細明體"/>
          <w:sz w:val="20"/>
          <w:szCs w:val="20"/>
        </w:rPr>
        <w:t>(</w:t>
      </w:r>
      <w:r w:rsidRPr="00BA76F4">
        <w:rPr>
          <w:rFonts w:eastAsia="新細明體" w:hint="eastAsia"/>
          <w:sz w:val="20"/>
          <w:szCs w:val="20"/>
        </w:rPr>
        <w:t>重度放電</w:t>
      </w:r>
      <w:r w:rsidRPr="00BA76F4">
        <w:rPr>
          <w:rFonts w:eastAsia="新細明體"/>
          <w:sz w:val="20"/>
          <w:szCs w:val="20"/>
        </w:rPr>
        <w:t>)</w:t>
      </w:r>
      <w:r w:rsidRPr="00BA76F4">
        <w:rPr>
          <w:rFonts w:eastAsia="新細明體" w:hint="eastAsia"/>
          <w:sz w:val="20"/>
          <w:szCs w:val="20"/>
        </w:rPr>
        <w:t>。關閉電器負荷，發動引擎測量並紀錄充電電流。</w:t>
      </w:r>
    </w:p>
    <w:p w:rsidR="00DA0D4E" w:rsidRPr="00BA76F4" w:rsidRDefault="00DA0D4E" w:rsidP="00332058">
      <w:pPr>
        <w:adjustRightInd w:val="0"/>
        <w:snapToGrid w:val="0"/>
        <w:spacing w:line="240" w:lineRule="auto"/>
        <w:ind w:firstLineChars="0" w:firstLine="0"/>
        <w:rPr>
          <w:rFonts w:eastAsia="新細明體"/>
          <w:b/>
          <w:sz w:val="20"/>
          <w:szCs w:val="20"/>
        </w:rPr>
      </w:pPr>
      <w:r w:rsidRPr="00BA76F4">
        <w:rPr>
          <w:rFonts w:eastAsia="新細明體" w:hint="eastAsia"/>
          <w:b/>
          <w:sz w:val="20"/>
          <w:szCs w:val="20"/>
        </w:rPr>
        <w:t>點火波形實驗</w:t>
      </w:r>
    </w:p>
    <w:p w:rsidR="00DA0D4E" w:rsidRPr="00BA76F4" w:rsidRDefault="00DA0D4E" w:rsidP="00332058">
      <w:pPr>
        <w:adjustRightInd w:val="0"/>
        <w:snapToGrid w:val="0"/>
        <w:spacing w:line="240" w:lineRule="auto"/>
        <w:ind w:firstLineChars="202" w:firstLine="404"/>
        <w:jc w:val="both"/>
        <w:rPr>
          <w:rFonts w:eastAsia="新細明體"/>
          <w:sz w:val="20"/>
          <w:szCs w:val="20"/>
        </w:rPr>
      </w:pPr>
      <w:r w:rsidRPr="00BA76F4">
        <w:rPr>
          <w:rFonts w:eastAsia="新細明體" w:hint="eastAsia"/>
          <w:sz w:val="20"/>
          <w:szCs w:val="20"/>
        </w:rPr>
        <w:t>點火波形分析一般分為一次線圈波形及二次線圈分析。這是一個非常有效且準確的一種診斷方式，它可以讓維修人員快速的找到有關點火系統的問題，甚至二次波形的細微變化中判斷有些機械或燃油中的問題。如圖</w:t>
      </w:r>
      <w:r w:rsidRPr="00BA76F4">
        <w:rPr>
          <w:rFonts w:eastAsia="新細明體"/>
          <w:sz w:val="20"/>
          <w:szCs w:val="20"/>
        </w:rPr>
        <w:t>2</w:t>
      </w:r>
      <w:r w:rsidRPr="00BA76F4">
        <w:rPr>
          <w:rFonts w:eastAsia="新細明體" w:hint="eastAsia"/>
          <w:sz w:val="20"/>
          <w:szCs w:val="20"/>
        </w:rPr>
        <w:t>。</w:t>
      </w:r>
    </w:p>
    <w:p w:rsidR="00DA0D4E" w:rsidRPr="00BA76F4" w:rsidRDefault="00DA0D4E" w:rsidP="00332058">
      <w:pPr>
        <w:adjustRightInd w:val="0"/>
        <w:snapToGrid w:val="0"/>
        <w:spacing w:line="240" w:lineRule="auto"/>
        <w:ind w:firstLineChars="202" w:firstLine="404"/>
        <w:jc w:val="both"/>
        <w:rPr>
          <w:rFonts w:eastAsia="新細明體"/>
          <w:sz w:val="20"/>
          <w:szCs w:val="20"/>
        </w:rPr>
      </w:pPr>
      <w:r w:rsidRPr="00BA76F4">
        <w:rPr>
          <w:rFonts w:eastAsia="新細明體" w:hint="eastAsia"/>
          <w:sz w:val="20"/>
          <w:szCs w:val="20"/>
        </w:rPr>
        <w:t>由於本論文實驗之車輛為正常無故障之車輛，所以在測量波形時，只測二次線圈之點火波形，將電壓放大並擷取完整的二次測點火波形，分別測量鉛酸電瓶及鋰鐵電瓶怠速和</w:t>
      </w:r>
      <w:r w:rsidRPr="00BA76F4">
        <w:rPr>
          <w:rFonts w:eastAsia="新細明體"/>
          <w:sz w:val="20"/>
          <w:szCs w:val="20"/>
        </w:rPr>
        <w:t>2000rpm</w:t>
      </w:r>
      <w:r w:rsidRPr="00BA76F4">
        <w:rPr>
          <w:rFonts w:eastAsia="新細明體" w:hint="eastAsia"/>
          <w:sz w:val="20"/>
          <w:szCs w:val="20"/>
        </w:rPr>
        <w:t>時的波形。</w:t>
      </w:r>
    </w:p>
    <w:p w:rsidR="00DA0D4E" w:rsidRPr="00BA76F4" w:rsidRDefault="00DA0D4E" w:rsidP="00332058">
      <w:pPr>
        <w:adjustRightInd w:val="0"/>
        <w:snapToGrid w:val="0"/>
        <w:spacing w:line="240" w:lineRule="auto"/>
        <w:ind w:firstLineChars="0" w:firstLine="0"/>
        <w:rPr>
          <w:rFonts w:eastAsia="新細明體"/>
          <w:b/>
          <w:sz w:val="20"/>
          <w:szCs w:val="20"/>
        </w:rPr>
      </w:pPr>
      <w:r w:rsidRPr="00BA76F4">
        <w:rPr>
          <w:rFonts w:eastAsia="新細明體" w:hint="eastAsia"/>
          <w:b/>
          <w:sz w:val="20"/>
          <w:szCs w:val="20"/>
        </w:rPr>
        <w:t>起動性能測試</w:t>
      </w:r>
    </w:p>
    <w:p w:rsidR="00DA0D4E" w:rsidRPr="00BA76F4" w:rsidRDefault="00DA0D4E" w:rsidP="00332058">
      <w:pPr>
        <w:adjustRightInd w:val="0"/>
        <w:snapToGrid w:val="0"/>
        <w:spacing w:line="240" w:lineRule="auto"/>
        <w:ind w:firstLineChars="202" w:firstLine="404"/>
        <w:jc w:val="both"/>
        <w:rPr>
          <w:rFonts w:eastAsia="新細明體"/>
          <w:sz w:val="20"/>
          <w:szCs w:val="20"/>
        </w:rPr>
      </w:pPr>
      <w:r w:rsidRPr="00BA76F4">
        <w:rPr>
          <w:rFonts w:eastAsia="新細明體" w:hint="eastAsia"/>
          <w:sz w:val="20"/>
          <w:szCs w:val="20"/>
        </w:rPr>
        <w:t>依據國際標準</w:t>
      </w:r>
      <w:r w:rsidRPr="00BA76F4">
        <w:rPr>
          <w:rFonts w:eastAsia="新細明體"/>
          <w:sz w:val="20"/>
          <w:szCs w:val="20"/>
        </w:rPr>
        <w:t>ISO 7637-2 (</w:t>
      </w:r>
      <w:r w:rsidRPr="00BA76F4">
        <w:rPr>
          <w:rFonts w:eastAsia="新細明體" w:hint="eastAsia"/>
          <w:sz w:val="20"/>
          <w:szCs w:val="20"/>
        </w:rPr>
        <w:t>在</w:t>
      </w:r>
      <w:r w:rsidRPr="00BA76F4">
        <w:rPr>
          <w:rFonts w:eastAsia="新細明體"/>
          <w:sz w:val="20"/>
          <w:szCs w:val="20"/>
        </w:rPr>
        <w:t>2004</w:t>
      </w:r>
      <w:r w:rsidRPr="00BA76F4">
        <w:rPr>
          <w:rFonts w:eastAsia="新細明體" w:hint="eastAsia"/>
          <w:sz w:val="20"/>
          <w:szCs w:val="20"/>
        </w:rPr>
        <w:t>年頒布</w:t>
      </w:r>
      <w:r w:rsidRPr="00BA76F4">
        <w:rPr>
          <w:rFonts w:eastAsia="新細明體"/>
          <w:sz w:val="20"/>
          <w:szCs w:val="20"/>
        </w:rPr>
        <w:t>)</w:t>
      </w:r>
      <w:r w:rsidRPr="00BA76F4">
        <w:rPr>
          <w:rFonts w:eastAsia="新細明體" w:hint="eastAsia"/>
          <w:sz w:val="20"/>
          <w:szCs w:val="20"/>
        </w:rPr>
        <w:t>，內文有提及到關於汽車電子在電線上電壓傳遞的標準波形，當然其中也包含了電瓶在起動時的電壓變化之波形如圖</w:t>
      </w:r>
      <w:r w:rsidRPr="00BA76F4">
        <w:rPr>
          <w:rFonts w:eastAsia="新細明體"/>
          <w:sz w:val="20"/>
          <w:szCs w:val="20"/>
        </w:rPr>
        <w:t>3</w:t>
      </w:r>
      <w:r w:rsidRPr="00BA76F4">
        <w:rPr>
          <w:rFonts w:eastAsia="新細明體" w:hint="eastAsia"/>
          <w:sz w:val="20"/>
          <w:szCs w:val="20"/>
        </w:rPr>
        <w:t>，這是給汽車製造廠的依循標準。其中起動時的電壓降為</w:t>
      </w:r>
      <w:r w:rsidRPr="00BA76F4">
        <w:rPr>
          <w:rFonts w:eastAsia="新細明體"/>
          <w:sz w:val="20"/>
          <w:szCs w:val="20"/>
        </w:rPr>
        <w:t>U</w:t>
      </w:r>
      <w:r w:rsidRPr="00BA76F4">
        <w:rPr>
          <w:rFonts w:eastAsia="新細明體"/>
          <w:sz w:val="20"/>
          <w:szCs w:val="20"/>
          <w:vertAlign w:val="subscript"/>
        </w:rPr>
        <w:t>S</w:t>
      </w:r>
      <w:r w:rsidRPr="00BA76F4">
        <w:rPr>
          <w:rFonts w:eastAsia="新細明體" w:hint="eastAsia"/>
          <w:sz w:val="20"/>
          <w:szCs w:val="20"/>
        </w:rPr>
        <w:t>為</w:t>
      </w:r>
      <w:r w:rsidRPr="00BA76F4">
        <w:rPr>
          <w:rFonts w:eastAsia="新細明體"/>
          <w:sz w:val="20"/>
          <w:szCs w:val="20"/>
        </w:rPr>
        <w:t>6 V-7 V</w:t>
      </w:r>
      <w:r w:rsidRPr="00BA76F4">
        <w:rPr>
          <w:rFonts w:eastAsia="新細明體" w:hint="eastAsia"/>
          <w:sz w:val="20"/>
          <w:szCs w:val="20"/>
        </w:rPr>
        <w:t>，</w:t>
      </w:r>
      <w:r w:rsidRPr="00BA76F4">
        <w:rPr>
          <w:rFonts w:eastAsia="新細明體"/>
          <w:sz w:val="20"/>
          <w:szCs w:val="20"/>
        </w:rPr>
        <w:t>U</w:t>
      </w:r>
      <w:r w:rsidRPr="00BA76F4">
        <w:rPr>
          <w:rFonts w:eastAsia="新細明體"/>
          <w:sz w:val="20"/>
          <w:szCs w:val="20"/>
          <w:vertAlign w:val="subscript"/>
        </w:rPr>
        <w:t>a</w:t>
      </w:r>
      <w:r w:rsidRPr="00BA76F4">
        <w:rPr>
          <w:rFonts w:eastAsia="新細明體" w:hint="eastAsia"/>
          <w:sz w:val="20"/>
          <w:szCs w:val="20"/>
        </w:rPr>
        <w:t>為</w:t>
      </w:r>
      <w:r w:rsidRPr="00BA76F4">
        <w:rPr>
          <w:rFonts w:eastAsia="新細明體"/>
          <w:sz w:val="20"/>
          <w:szCs w:val="20"/>
        </w:rPr>
        <w:t>2.5V-6V</w:t>
      </w:r>
      <w:r w:rsidRPr="00BA76F4">
        <w:rPr>
          <w:rFonts w:eastAsia="新細明體" w:hint="eastAsia"/>
          <w:sz w:val="20"/>
          <w:szCs w:val="20"/>
        </w:rPr>
        <w:t>，</w:t>
      </w:r>
      <w:r w:rsidRPr="00BA76F4">
        <w:rPr>
          <w:rFonts w:eastAsia="新細明體"/>
          <w:sz w:val="20"/>
          <w:szCs w:val="20"/>
        </w:rPr>
        <w:t>t</w:t>
      </w:r>
      <w:r w:rsidRPr="00BA76F4">
        <w:rPr>
          <w:rFonts w:eastAsia="新細明體"/>
          <w:sz w:val="20"/>
          <w:szCs w:val="20"/>
          <w:vertAlign w:val="subscript"/>
        </w:rPr>
        <w:t>10</w:t>
      </w:r>
      <w:r w:rsidRPr="00BA76F4">
        <w:rPr>
          <w:rFonts w:eastAsia="新細明體" w:hint="eastAsia"/>
          <w:sz w:val="20"/>
          <w:szCs w:val="20"/>
        </w:rPr>
        <w:t>時間為</w:t>
      </w:r>
      <w:r w:rsidRPr="00BA76F4">
        <w:rPr>
          <w:rFonts w:eastAsia="新細明體"/>
          <w:sz w:val="20"/>
          <w:szCs w:val="20"/>
        </w:rPr>
        <w:t>5 ms</w:t>
      </w:r>
      <w:r w:rsidRPr="00BA76F4">
        <w:rPr>
          <w:rFonts w:eastAsia="新細明體" w:hint="eastAsia"/>
          <w:sz w:val="20"/>
          <w:szCs w:val="20"/>
        </w:rPr>
        <w:t>，</w:t>
      </w:r>
      <w:r w:rsidRPr="00BA76F4">
        <w:rPr>
          <w:rFonts w:eastAsia="新細明體"/>
          <w:sz w:val="20"/>
          <w:szCs w:val="20"/>
        </w:rPr>
        <w:t>t</w:t>
      </w:r>
      <w:r w:rsidRPr="00BA76F4">
        <w:rPr>
          <w:rFonts w:eastAsia="新細明體"/>
          <w:sz w:val="20"/>
          <w:szCs w:val="20"/>
          <w:vertAlign w:val="subscript"/>
        </w:rPr>
        <w:t>7</w:t>
      </w:r>
      <w:r w:rsidRPr="00BA76F4">
        <w:rPr>
          <w:rFonts w:eastAsia="新細明體" w:hint="eastAsia"/>
          <w:sz w:val="20"/>
          <w:szCs w:val="20"/>
        </w:rPr>
        <w:t>為壓降最低點回升時間為</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15m</w:t>
        </w:r>
      </w:smartTag>
      <w:r w:rsidRPr="00BA76F4">
        <w:rPr>
          <w:rFonts w:eastAsia="新細明體"/>
          <w:sz w:val="20"/>
          <w:szCs w:val="20"/>
        </w:rPr>
        <w:t>s</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-40m</w:t>
        </w:r>
      </w:smartTag>
      <w:r w:rsidRPr="00BA76F4">
        <w:rPr>
          <w:rFonts w:eastAsia="新細明體"/>
          <w:sz w:val="20"/>
          <w:szCs w:val="20"/>
        </w:rPr>
        <w:t>s</w:t>
      </w:r>
      <w:r w:rsidRPr="00BA76F4">
        <w:rPr>
          <w:rFonts w:eastAsia="新細明體" w:hint="eastAsia"/>
          <w:sz w:val="20"/>
          <w:szCs w:val="20"/>
        </w:rPr>
        <w:t>，</w:t>
      </w:r>
      <w:r w:rsidRPr="00BA76F4">
        <w:rPr>
          <w:rFonts w:eastAsia="新細明體"/>
          <w:sz w:val="20"/>
          <w:szCs w:val="20"/>
        </w:rPr>
        <w:t>t</w:t>
      </w:r>
      <w:r w:rsidRPr="00BA76F4">
        <w:rPr>
          <w:rFonts w:eastAsia="新細明體"/>
          <w:sz w:val="20"/>
          <w:szCs w:val="20"/>
          <w:vertAlign w:val="subscript"/>
        </w:rPr>
        <w:t>8</w:t>
      </w:r>
      <w:r w:rsidRPr="00BA76F4">
        <w:rPr>
          <w:rFonts w:eastAsia="新細明體" w:hint="eastAsia"/>
          <w:sz w:val="20"/>
          <w:szCs w:val="20"/>
        </w:rPr>
        <w:t>時間應小於</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50m</w:t>
        </w:r>
      </w:smartTag>
      <w:r w:rsidRPr="00BA76F4">
        <w:rPr>
          <w:rFonts w:eastAsia="新細明體"/>
          <w:sz w:val="20"/>
          <w:szCs w:val="20"/>
        </w:rPr>
        <w:t>s</w:t>
      </w:r>
      <w:r w:rsidRPr="00BA76F4">
        <w:rPr>
          <w:rFonts w:eastAsia="新細明體" w:hint="eastAsia"/>
          <w:sz w:val="20"/>
          <w:szCs w:val="20"/>
        </w:rPr>
        <w:t>，</w:t>
      </w:r>
      <w:r w:rsidRPr="00BA76F4">
        <w:rPr>
          <w:rFonts w:eastAsia="新細明體"/>
          <w:sz w:val="20"/>
          <w:szCs w:val="20"/>
        </w:rPr>
        <w:t>t</w:t>
      </w:r>
      <w:r w:rsidRPr="00BA76F4">
        <w:rPr>
          <w:rFonts w:eastAsia="新細明體"/>
          <w:sz w:val="20"/>
          <w:szCs w:val="20"/>
          <w:vertAlign w:val="subscript"/>
        </w:rPr>
        <w:t>9</w:t>
      </w:r>
      <w:r w:rsidRPr="00BA76F4">
        <w:rPr>
          <w:rFonts w:eastAsia="新細明體" w:hint="eastAsia"/>
          <w:sz w:val="20"/>
          <w:szCs w:val="20"/>
        </w:rPr>
        <w:t>時間為</w:t>
      </w:r>
      <w:r w:rsidRPr="00BA76F4">
        <w:rPr>
          <w:rFonts w:eastAsia="新細明體"/>
          <w:sz w:val="20"/>
          <w:szCs w:val="20"/>
        </w:rPr>
        <w:t>0.5 s-20s</w:t>
      </w:r>
      <w:r w:rsidRPr="00BA76F4">
        <w:rPr>
          <w:rFonts w:eastAsia="新細明體" w:hint="eastAsia"/>
          <w:sz w:val="20"/>
          <w:szCs w:val="20"/>
        </w:rPr>
        <w:t>，</w:t>
      </w:r>
      <w:r w:rsidRPr="00BA76F4">
        <w:rPr>
          <w:rFonts w:eastAsia="新細明體"/>
          <w:sz w:val="20"/>
          <w:szCs w:val="20"/>
        </w:rPr>
        <w:t>t</w:t>
      </w:r>
      <w:r w:rsidRPr="00BA76F4">
        <w:rPr>
          <w:rFonts w:eastAsia="新細明體"/>
          <w:sz w:val="20"/>
          <w:szCs w:val="20"/>
          <w:vertAlign w:val="subscript"/>
        </w:rPr>
        <w:t>11</w:t>
      </w:r>
      <w:r w:rsidRPr="00BA76F4">
        <w:rPr>
          <w:rFonts w:eastAsia="新細明體" w:hint="eastAsia"/>
          <w:sz w:val="20"/>
          <w:szCs w:val="20"/>
        </w:rPr>
        <w:t>時間為</w:t>
      </w:r>
      <w:r w:rsidRPr="00BA76F4">
        <w:rPr>
          <w:rFonts w:eastAsia="新細明體"/>
          <w:sz w:val="20"/>
          <w:szCs w:val="20"/>
        </w:rPr>
        <w:t>5 ms</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-100m</w:t>
        </w:r>
      </w:smartTag>
      <w:r w:rsidRPr="00BA76F4">
        <w:rPr>
          <w:rFonts w:eastAsia="新細明體"/>
          <w:sz w:val="20"/>
          <w:szCs w:val="20"/>
        </w:rPr>
        <w:t>s</w:t>
      </w:r>
      <w:r w:rsidRPr="00BA76F4">
        <w:rPr>
          <w:rFonts w:eastAsia="新細明體" w:hint="eastAsia"/>
          <w:sz w:val="20"/>
          <w:szCs w:val="20"/>
        </w:rPr>
        <w:t>。</w:t>
      </w:r>
    </w:p>
    <w:p w:rsidR="00DA0D4E" w:rsidRDefault="00DA0D4E" w:rsidP="00A13FB1">
      <w:pPr>
        <w:adjustRightInd w:val="0"/>
        <w:snapToGrid w:val="0"/>
        <w:spacing w:line="240" w:lineRule="auto"/>
        <w:ind w:firstLineChars="202" w:firstLine="404"/>
        <w:jc w:val="both"/>
        <w:rPr>
          <w:rFonts w:eastAsia="新細明體" w:hint="eastAsia"/>
          <w:sz w:val="20"/>
          <w:szCs w:val="20"/>
        </w:rPr>
      </w:pPr>
      <w:proofErr w:type="gramStart"/>
      <w:r w:rsidRPr="00BA76F4">
        <w:rPr>
          <w:rFonts w:eastAsia="新細明體" w:hint="eastAsia"/>
          <w:sz w:val="20"/>
          <w:szCs w:val="20"/>
        </w:rPr>
        <w:t>將鉛酸</w:t>
      </w:r>
      <w:proofErr w:type="gramEnd"/>
      <w:r w:rsidRPr="00BA76F4">
        <w:rPr>
          <w:rFonts w:eastAsia="新細明體" w:hint="eastAsia"/>
          <w:sz w:val="20"/>
          <w:szCs w:val="20"/>
        </w:rPr>
        <w:t>電瓶</w:t>
      </w:r>
      <w:proofErr w:type="gramStart"/>
      <w:r w:rsidRPr="00BA76F4">
        <w:rPr>
          <w:rFonts w:eastAsia="新細明體" w:hint="eastAsia"/>
          <w:sz w:val="20"/>
          <w:szCs w:val="20"/>
        </w:rPr>
        <w:t>與鋰鐵電瓶</w:t>
      </w:r>
      <w:proofErr w:type="gramEnd"/>
      <w:r w:rsidRPr="00BA76F4">
        <w:rPr>
          <w:rFonts w:eastAsia="新細明體" w:hint="eastAsia"/>
          <w:sz w:val="20"/>
          <w:szCs w:val="20"/>
        </w:rPr>
        <w:t>分別安裝於車上，在引擎未發動時先裝上起動電壓專用分析儀，如圖</w:t>
      </w:r>
      <w:r w:rsidRPr="00BA76F4">
        <w:rPr>
          <w:rFonts w:eastAsia="新細明體"/>
          <w:sz w:val="20"/>
          <w:szCs w:val="20"/>
        </w:rPr>
        <w:t>4</w:t>
      </w:r>
      <w:r w:rsidRPr="00BA76F4">
        <w:rPr>
          <w:rFonts w:eastAsia="新細明體" w:hint="eastAsia"/>
          <w:sz w:val="20"/>
          <w:szCs w:val="20"/>
        </w:rPr>
        <w:t>，測試</w:t>
      </w:r>
      <w:r w:rsidRPr="00BA76F4">
        <w:rPr>
          <w:rFonts w:eastAsia="新細明體" w:hint="eastAsia"/>
          <w:sz w:val="20"/>
          <w:szCs w:val="20"/>
        </w:rPr>
        <w:lastRenderedPageBreak/>
        <w:t>電瓶尚未發動時的電壓，然後發動引擎測量起動時的電壓降，及起動馬達轉動到引擎發動的時間和發電機發動後電壓。同樣使用上述所說測試的三個條件來研究分析起動電壓波形</w:t>
      </w:r>
    </w:p>
    <w:p w:rsidR="00A13FB1" w:rsidRDefault="00A13FB1" w:rsidP="00A13FB1">
      <w:pPr>
        <w:adjustRightInd w:val="0"/>
        <w:snapToGrid w:val="0"/>
        <w:spacing w:line="240" w:lineRule="auto"/>
        <w:ind w:firstLineChars="202" w:firstLine="404"/>
        <w:jc w:val="center"/>
        <w:rPr>
          <w:rFonts w:ascii="新細明體" w:eastAsia="新細明體" w:hAnsi="新細明體" w:hint="eastAsia"/>
          <w:noProof/>
          <w:sz w:val="20"/>
          <w:szCs w:val="20"/>
        </w:rPr>
      </w:pPr>
      <w:r>
        <w:rPr>
          <w:rFonts w:ascii="新細明體" w:eastAsia="新細明體" w:hAnsi="新細明體"/>
          <w:noProof/>
          <w:sz w:val="20"/>
          <w:szCs w:val="20"/>
        </w:rPr>
        <w:pict>
          <v:shape id="圖片 3" o:spid="_x0000_i1031" type="#_x0000_t75" style="width:249.75pt;height:237.75pt;visibility:visible">
            <v:imagedata r:id="rId15" o:title=""/>
          </v:shape>
        </w:pict>
      </w:r>
    </w:p>
    <w:p w:rsidR="00A13FB1" w:rsidRDefault="00A13FB1" w:rsidP="00A13FB1">
      <w:pPr>
        <w:adjustRightInd w:val="0"/>
        <w:snapToGrid w:val="0"/>
        <w:spacing w:line="240" w:lineRule="auto"/>
        <w:ind w:firstLineChars="202" w:firstLine="404"/>
        <w:jc w:val="center"/>
        <w:rPr>
          <w:rFonts w:eastAsia="新細明體" w:hint="eastAsia"/>
          <w:sz w:val="20"/>
          <w:szCs w:val="20"/>
        </w:rPr>
      </w:pPr>
      <w:bookmarkStart w:id="0" w:name="_Toc394053107"/>
      <w:r w:rsidRPr="00F54152">
        <w:rPr>
          <w:rFonts w:eastAsia="新細明體" w:hint="eastAsia"/>
          <w:sz w:val="20"/>
          <w:szCs w:val="20"/>
        </w:rPr>
        <w:t>圖</w:t>
      </w:r>
      <w:r>
        <w:rPr>
          <w:rFonts w:eastAsia="新細明體"/>
          <w:sz w:val="20"/>
          <w:szCs w:val="20"/>
        </w:rPr>
        <w:t>2</w:t>
      </w:r>
      <w:r w:rsidRPr="00F54152">
        <w:rPr>
          <w:rFonts w:eastAsia="新細明體"/>
          <w:sz w:val="20"/>
          <w:szCs w:val="20"/>
        </w:rPr>
        <w:t xml:space="preserve"> </w:t>
      </w:r>
      <w:r w:rsidRPr="00F54152">
        <w:rPr>
          <w:rFonts w:eastAsia="新細明體" w:hint="eastAsia"/>
          <w:sz w:val="20"/>
          <w:szCs w:val="20"/>
        </w:rPr>
        <w:t>點火波形示意圖</w:t>
      </w:r>
      <w:bookmarkEnd w:id="0"/>
    </w:p>
    <w:p w:rsidR="00A13FB1" w:rsidRDefault="00A13FB1" w:rsidP="00A13FB1">
      <w:pPr>
        <w:adjustRightInd w:val="0"/>
        <w:snapToGrid w:val="0"/>
        <w:spacing w:line="240" w:lineRule="auto"/>
        <w:ind w:firstLineChars="202" w:firstLine="404"/>
        <w:jc w:val="center"/>
        <w:rPr>
          <w:rFonts w:ascii="新細明體" w:eastAsia="新細明體" w:hAnsi="新細明體"/>
          <w:noProof/>
          <w:sz w:val="20"/>
          <w:szCs w:val="20"/>
        </w:rPr>
      </w:pPr>
      <w:r>
        <w:rPr>
          <w:rFonts w:ascii="新細明體" w:eastAsia="新細明體" w:hAnsi="新細明體"/>
          <w:noProof/>
          <w:sz w:val="20"/>
          <w:szCs w:val="20"/>
        </w:rPr>
        <w:pict>
          <v:shape id="圖片 9" o:spid="_x0000_i1032" type="#_x0000_t75" style="width:296.25pt;height:172.5pt;visibility:visible">
            <v:imagedata r:id="rId16" o:title=""/>
          </v:shape>
        </w:pict>
      </w:r>
    </w:p>
    <w:p w:rsidR="00A13FB1" w:rsidRPr="00F54152" w:rsidRDefault="00A13FB1" w:rsidP="00A13FB1">
      <w:pPr>
        <w:pStyle w:val="ac"/>
        <w:adjustRightInd w:val="0"/>
        <w:snapToGrid w:val="0"/>
        <w:spacing w:line="240" w:lineRule="auto"/>
        <w:ind w:firstLine="400"/>
        <w:rPr>
          <w:rFonts w:eastAsia="新細明體"/>
          <w:sz w:val="20"/>
          <w:szCs w:val="20"/>
        </w:rPr>
      </w:pPr>
      <w:r w:rsidRPr="00F54152">
        <w:rPr>
          <w:rFonts w:eastAsia="新細明體" w:hint="eastAsia"/>
          <w:sz w:val="20"/>
          <w:szCs w:val="20"/>
        </w:rPr>
        <w:t>圖</w:t>
      </w:r>
      <w:r w:rsidRPr="00F54152">
        <w:rPr>
          <w:rFonts w:eastAsia="新細明體"/>
          <w:sz w:val="20"/>
          <w:szCs w:val="20"/>
        </w:rPr>
        <w:t xml:space="preserve">3 </w:t>
      </w:r>
      <w:r w:rsidRPr="00F54152">
        <w:rPr>
          <w:rFonts w:eastAsia="新細明體" w:hint="eastAsia"/>
          <w:sz w:val="20"/>
          <w:szCs w:val="20"/>
        </w:rPr>
        <w:t>起動時電瓶電壓波形</w:t>
      </w:r>
    </w:p>
    <w:p w:rsidR="00A13FB1" w:rsidRPr="00F54152" w:rsidRDefault="00A13FB1" w:rsidP="00A13FB1">
      <w:pPr>
        <w:adjustRightInd w:val="0"/>
        <w:snapToGrid w:val="0"/>
        <w:spacing w:line="240" w:lineRule="auto"/>
        <w:ind w:firstLineChars="202" w:firstLine="404"/>
        <w:jc w:val="center"/>
        <w:rPr>
          <w:rFonts w:eastAsia="新細明體"/>
          <w:b/>
          <w:sz w:val="20"/>
          <w:szCs w:val="20"/>
        </w:rPr>
      </w:pPr>
      <w:r w:rsidRPr="00F54152">
        <w:rPr>
          <w:rFonts w:eastAsia="新細明體" w:hint="eastAsia"/>
          <w:sz w:val="20"/>
          <w:szCs w:val="20"/>
        </w:rPr>
        <w:t>資料來源</w:t>
      </w:r>
      <w:r w:rsidRPr="00F54152">
        <w:rPr>
          <w:rFonts w:eastAsia="新細明體"/>
          <w:sz w:val="20"/>
          <w:szCs w:val="20"/>
        </w:rPr>
        <w:t>:ISO 7637-2</w:t>
      </w:r>
    </w:p>
    <w:p w:rsidR="00A13FB1" w:rsidRDefault="00A13FB1" w:rsidP="00A13FB1">
      <w:pPr>
        <w:adjustRightInd w:val="0"/>
        <w:snapToGrid w:val="0"/>
        <w:spacing w:line="240" w:lineRule="auto"/>
        <w:ind w:firstLineChars="202" w:firstLine="404"/>
        <w:jc w:val="center"/>
        <w:rPr>
          <w:rFonts w:ascii="新細明體" w:eastAsia="新細明體" w:hAnsi="新細明體" w:hint="eastAsia"/>
          <w:noProof/>
          <w:sz w:val="20"/>
          <w:szCs w:val="20"/>
        </w:rPr>
      </w:pPr>
      <w:r>
        <w:rPr>
          <w:rFonts w:ascii="新細明體" w:eastAsia="新細明體" w:hAnsi="新細明體"/>
          <w:noProof/>
          <w:sz w:val="20"/>
          <w:szCs w:val="20"/>
        </w:rPr>
        <w:pict>
          <v:shape id="圖片 7" o:spid="_x0000_i1033" type="#_x0000_t75" style="width:390pt;height:168.75pt;visibility:visible">
            <v:imagedata r:id="rId17" o:title=""/>
          </v:shape>
        </w:pict>
      </w:r>
    </w:p>
    <w:p w:rsidR="00A13FB1" w:rsidRPr="00A13FB1" w:rsidRDefault="00A13FB1" w:rsidP="00A13FB1">
      <w:pPr>
        <w:adjustRightInd w:val="0"/>
        <w:snapToGrid w:val="0"/>
        <w:spacing w:line="240" w:lineRule="auto"/>
        <w:ind w:firstLineChars="202" w:firstLine="404"/>
        <w:jc w:val="center"/>
        <w:rPr>
          <w:rFonts w:eastAsia="新細明體" w:hint="eastAsia"/>
          <w:sz w:val="20"/>
          <w:szCs w:val="20"/>
        </w:rPr>
      </w:pPr>
      <w:r w:rsidRPr="00BA76F4">
        <w:rPr>
          <w:rFonts w:eastAsia="新細明體" w:hint="eastAsia"/>
          <w:sz w:val="20"/>
          <w:szCs w:val="20"/>
        </w:rPr>
        <w:t>圖</w:t>
      </w:r>
      <w:r w:rsidRPr="00BA76F4">
        <w:rPr>
          <w:rFonts w:eastAsia="新細明體"/>
          <w:sz w:val="20"/>
          <w:szCs w:val="20"/>
        </w:rPr>
        <w:t xml:space="preserve">4 </w:t>
      </w:r>
      <w:r w:rsidRPr="00BA76F4">
        <w:rPr>
          <w:rFonts w:eastAsia="新細明體" w:hint="eastAsia"/>
          <w:sz w:val="20"/>
          <w:szCs w:val="20"/>
        </w:rPr>
        <w:t>起動電壓分析示意圖</w:t>
      </w:r>
    </w:p>
    <w:p w:rsidR="00A13FB1" w:rsidRDefault="00A13FB1" w:rsidP="00A13FB1">
      <w:pPr>
        <w:spacing w:line="240" w:lineRule="auto"/>
        <w:ind w:firstLineChars="0" w:firstLine="0"/>
        <w:jc w:val="center"/>
        <w:rPr>
          <w:rFonts w:ascii="新細明體" w:eastAsia="新細明體" w:hAnsi="新細明體"/>
          <w:noProof/>
          <w:sz w:val="20"/>
          <w:szCs w:val="20"/>
        </w:rPr>
        <w:sectPr w:rsidR="00A13FB1" w:rsidSect="00332058">
          <w:headerReference w:type="even" r:id="rId18"/>
          <w:headerReference w:type="default" r:id="rId19"/>
          <w:footerReference w:type="even" r:id="rId20"/>
          <w:footerReference w:type="default" r:id="rId21"/>
          <w:headerReference w:type="first" r:id="rId22"/>
          <w:footerReference w:type="first" r:id="rId23"/>
          <w:pgSz w:w="11906" w:h="16838" w:code="9"/>
          <w:pgMar w:top="1418" w:right="1418" w:bottom="1418" w:left="1418" w:header="851" w:footer="992" w:gutter="0"/>
          <w:cols w:space="425"/>
          <w:docGrid w:type="lines" w:linePitch="360"/>
        </w:sectPr>
      </w:pPr>
    </w:p>
    <w:p w:rsidR="00A13FB1" w:rsidRPr="00D06FE7" w:rsidRDefault="00A13FB1" w:rsidP="00D06FE7">
      <w:pPr>
        <w:spacing w:line="240" w:lineRule="auto"/>
        <w:ind w:firstLineChars="0" w:firstLine="0"/>
        <w:jc w:val="center"/>
        <w:rPr>
          <w:rFonts w:eastAsia="新細明體"/>
          <w:b/>
          <w:sz w:val="20"/>
          <w:szCs w:val="20"/>
        </w:rPr>
      </w:pPr>
      <w:r w:rsidRPr="00FF2680">
        <w:rPr>
          <w:rFonts w:eastAsia="新細明體" w:hint="eastAsia"/>
          <w:b/>
          <w:sz w:val="20"/>
          <w:szCs w:val="20"/>
        </w:rPr>
        <w:lastRenderedPageBreak/>
        <w:t>實驗架構</w:t>
      </w: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23" o:spid="_x0000_s1063" type="#_x0000_t67" style="position:absolute;left:0;text-align:left;margin-left:260.55pt;margin-top:74.7pt;width:34.25pt;height:34.1pt;rotation:-2813540fd;z-index:5;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" adj="10800" fillcolor="#c6d9f1" strokecolor="#243f60" strokeweight="2pt"/>
        </w:pict>
      </w:r>
      <w:r>
        <w:rPr>
          <w:noProof/>
        </w:rPr>
        <w:pict>
          <v:shape id="向下箭號 25" o:spid="_x0000_s1062" type="#_x0000_t67" style="position:absolute;left:0;text-align:left;margin-left:124.85pt;margin-top:155.65pt;width:32.5pt;height:34.5pt;z-index: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" adj="11426" fillcolor="#c6d9f1" strokecolor="#243f60" strokeweight="2pt"/>
        </w:pict>
      </w:r>
      <w:r>
        <w:rPr>
          <w:noProof/>
        </w:rPr>
        <w:pict>
          <v:shape id="向下箭號 26" o:spid="_x0000_s1065" type="#_x0000_t67" style="position:absolute;left:0;text-align:left;margin-left:304.55pt;margin-top:160.15pt;width:30pt;height:36pt;z-index:7;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" adj="12600" fillcolor="#c6d9f1" strokecolor="#243f60" strokeweight="2pt"/>
        </w:pict>
      </w:r>
      <w:r>
        <w:rPr>
          <w:noProof/>
        </w:rPr>
        <w:pict>
          <v:shape id="向下箭號 24" o:spid="_x0000_s1064" type="#_x0000_t67" style="position:absolute;left:0;text-align:left;margin-left:218.6pt;margin-top:156.4pt;width:27.75pt;height:33.75pt;z-index: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" adj="12720" fillcolor="#c6d9f1" strokecolor="#243f60" strokeweight="2pt"/>
        </w:pict>
      </w:r>
      <w:r>
        <w:rPr>
          <w:noProof/>
        </w:rPr>
        <w:pict>
          <v:shape id="向下箭號 22" o:spid="_x0000_s1060" type="#_x0000_t67" style="position:absolute;left:0;text-align:left;margin-left:158.5pt;margin-top:76.75pt;width:31.3pt;height:33.55pt;rotation:3047014fd;z-index: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" adj="11524" fillcolor="#c6d9f1" strokecolor="#243f60" strokeweight="2pt"/>
        </w:pict>
      </w:r>
      <w:r>
        <w:rPr>
          <w:noProof/>
        </w:rPr>
        <w:pict>
          <v:shape id="向下箭號 21" o:spid="_x0000_s1061" type="#_x0000_t67" style="position:absolute;left:0;text-align:left;margin-left:211.1pt;margin-top:74.7pt;width:29.25pt;height:34.5pt;z-index:3;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" adj="12443" fillcolor="#c6d9f1" strokecolor="#243f60" strokeweight="2pt"/>
        </w:pict>
      </w:r>
      <w:r>
        <w:rPr>
          <w:noProof/>
        </w:rPr>
        <w:pict>
          <v:shape id="資料庫圖表 30" o:spid="_x0000_s1059" type="#_x0000_t75" style="position:absolute;left:0;text-align:left;margin-left:105.05pt;margin-top:19.1pt;width:242.4pt;height:312pt;z-index:1;visibility:visible;mso-wrap-distance-left:50.28pt;mso-wrap-distance-top:.96pt;mso-wrap-distance-right:47.82pt;mso-wrap-distance-bottom:36.21pt;mso-position-horizontal-relative:text;mso-position-vertical-relative:text"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">
            <v:imagedata r:id="rId24" o:title=""/>
            <o:lock v:ext="edit" aspectratio="f"/>
            <w10:wrap type="topAndBottom"/>
          </v:shape>
        </w:pict>
      </w:r>
      <w:r>
        <w:rPr>
          <w:noProof/>
        </w:rPr>
        <w:pict>
          <v:shape id="向下箭號 29" o:spid="_x0000_s1068" type="#_x0000_t67" style="position:absolute;left:0;text-align:left;margin-left:133.7pt;margin-top:237.65pt;width:27.65pt;height:32.1pt;rotation:-2995062fd;z-index:1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" adj="12297" fillcolor="#c6d9f1" strokecolor="#243f60" strokeweight="2pt"/>
        </w:pict>
      </w:r>
      <w:r>
        <w:rPr>
          <w:noProof/>
        </w:rPr>
        <w:pict>
          <v:shape id="向下箭號 27" o:spid="_x0000_s1067" type="#_x0000_t67" style="position:absolute;left:0;text-align:left;margin-left:294.8pt;margin-top:239.85pt;width:30.25pt;height:33.2pt;rotation:2397912fd;z-index:9;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" adj="11760" fillcolor="#c6d9f1" strokecolor="#243f60" strokeweight="2pt"/>
        </w:pict>
      </w:r>
      <w:r>
        <w:rPr>
          <w:noProof/>
        </w:rPr>
        <w:pict>
          <v:shape id="向下箭號 28" o:spid="_x0000_s1066" type="#_x0000_t67" style="position:absolute;left:0;text-align:left;margin-left:217.1pt;margin-top:240.8pt;width:29.25pt;height:32.25pt;z-index: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" adj="11805" fillcolor="#c6d9f1" strokecolor="#243f60" strokeweight="2pt"/>
        </w:pict>
      </w:r>
      <w:r w:rsidR="00D06FE7" w:rsidRPr="0038177B">
        <w:rPr>
          <w:rFonts w:eastAsia="新細明體"/>
          <w:sz w:val="20"/>
          <w:szCs w:val="20"/>
        </w:rPr>
        <w:t xml:space="preserve"> </w:t>
      </w:r>
    </w:p>
    <w:p w:rsidR="00DA0D4E" w:rsidRDefault="00D06FE7" w:rsidP="00332058">
      <w:pPr>
        <w:spacing w:line="240" w:lineRule="auto"/>
        <w:ind w:firstLineChars="0" w:firstLine="0"/>
        <w:jc w:val="center"/>
        <w:rPr>
          <w:rFonts w:ascii="新細明體" w:eastAsia="新細明體" w:hAnsi="新細明體"/>
          <w:sz w:val="20"/>
          <w:szCs w:val="20"/>
        </w:rPr>
      </w:pPr>
      <w:r>
        <w:rPr>
          <w:rFonts w:eastAsia="新細明體" w:hint="eastAsia"/>
          <w:sz w:val="20"/>
          <w:szCs w:val="20"/>
        </w:rPr>
        <w:t>圖</w:t>
      </w:r>
      <w:r>
        <w:rPr>
          <w:rFonts w:eastAsia="新細明體"/>
          <w:sz w:val="20"/>
          <w:szCs w:val="20"/>
        </w:rPr>
        <w:t xml:space="preserve">5 </w:t>
      </w:r>
      <w:r w:rsidRPr="0038177B">
        <w:rPr>
          <w:rFonts w:eastAsia="新細明體" w:hint="eastAsia"/>
          <w:sz w:val="20"/>
          <w:szCs w:val="20"/>
        </w:rPr>
        <w:t>實驗架構流程圖</w:t>
      </w:r>
    </w:p>
    <w:p w:rsidR="00D06FE7" w:rsidRPr="00BE4083" w:rsidRDefault="00D06FE7" w:rsidP="00D06FE7">
      <w:pPr>
        <w:spacing w:line="240" w:lineRule="auto"/>
        <w:ind w:firstLineChars="100"/>
        <w:jc w:val="center"/>
        <w:rPr>
          <w:rFonts w:eastAsia="新細明體"/>
          <w:b/>
          <w:sz w:val="20"/>
          <w:szCs w:val="20"/>
        </w:rPr>
      </w:pPr>
      <w:r w:rsidRPr="00AB3F87">
        <w:rPr>
          <w:rFonts w:eastAsia="新細明體" w:hint="eastAsia"/>
          <w:b/>
          <w:sz w:val="20"/>
          <w:szCs w:val="20"/>
        </w:rPr>
        <w:t>實驗設備</w:t>
      </w:r>
    </w:p>
    <w:p w:rsidR="00D06FE7" w:rsidRPr="00BA76F4" w:rsidRDefault="00D06FE7" w:rsidP="00D06FE7">
      <w:pPr>
        <w:spacing w:line="240" w:lineRule="auto"/>
        <w:ind w:firstLineChars="202" w:firstLine="404"/>
        <w:jc w:val="both"/>
        <w:rPr>
          <w:rFonts w:eastAsia="新細明體"/>
          <w:sz w:val="20"/>
          <w:szCs w:val="20"/>
        </w:rPr>
      </w:pPr>
      <w:r w:rsidRPr="00BA76F4">
        <w:rPr>
          <w:rFonts w:eastAsia="新細明體" w:hint="eastAsia"/>
          <w:sz w:val="20"/>
          <w:szCs w:val="20"/>
        </w:rPr>
        <w:t>本實驗以國產</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1800c</w:t>
        </w:r>
      </w:smartTag>
      <w:r w:rsidRPr="00BA76F4">
        <w:rPr>
          <w:rFonts w:eastAsia="新細明體"/>
          <w:sz w:val="20"/>
          <w:szCs w:val="20"/>
        </w:rPr>
        <w:t>c</w:t>
      </w:r>
      <w:r w:rsidRPr="00BA76F4">
        <w:rPr>
          <w:rFonts w:eastAsia="新細明體" w:hint="eastAsia"/>
          <w:sz w:val="20"/>
          <w:szCs w:val="20"/>
        </w:rPr>
        <w:t>小轎車為實驗車輛，其他相關設備與儀器包括：示波器、電流鈎表、三用電表、車輛診斷電腦等等。以下針對各設備與儀器分別做介紹：</w:t>
      </w:r>
    </w:p>
    <w:p w:rsidR="00D06FE7" w:rsidRDefault="00D06FE7" w:rsidP="00D06FE7">
      <w:pPr>
        <w:spacing w:line="240" w:lineRule="auto"/>
        <w:ind w:firstLineChars="0" w:firstLine="0"/>
        <w:rPr>
          <w:rFonts w:eastAsia="新細明體"/>
          <w:sz w:val="20"/>
          <w:szCs w:val="20"/>
        </w:rPr>
      </w:pPr>
      <w:r>
        <w:rPr>
          <w:rFonts w:eastAsia="新細明體"/>
          <w:sz w:val="20"/>
          <w:szCs w:val="20"/>
        </w:rPr>
        <w:t>(1)</w:t>
      </w:r>
      <w:r w:rsidRPr="00BA76F4">
        <w:rPr>
          <w:rFonts w:eastAsia="新細明體" w:hint="eastAsia"/>
          <w:sz w:val="20"/>
          <w:szCs w:val="20"/>
        </w:rPr>
        <w:t>本研究所使用之車輛如圖</w:t>
      </w:r>
      <w:r w:rsidRPr="00BA76F4">
        <w:rPr>
          <w:rFonts w:eastAsia="新細明體"/>
          <w:sz w:val="20"/>
          <w:szCs w:val="20"/>
        </w:rPr>
        <w:t>6</w:t>
      </w:r>
      <w:r w:rsidRPr="00BA76F4">
        <w:rPr>
          <w:rFonts w:eastAsia="新細明體" w:hint="eastAsia"/>
          <w:sz w:val="20"/>
          <w:szCs w:val="20"/>
        </w:rPr>
        <w:t>，規格如表</w:t>
      </w:r>
      <w:r w:rsidRPr="00BA76F4">
        <w:rPr>
          <w:rFonts w:eastAsia="新細明體"/>
          <w:sz w:val="20"/>
          <w:szCs w:val="20"/>
        </w:rPr>
        <w:t>2</w:t>
      </w:r>
      <w:r w:rsidRPr="00BA76F4">
        <w:rPr>
          <w:rFonts w:eastAsia="新細明體" w:hint="eastAsia"/>
          <w:sz w:val="20"/>
          <w:szCs w:val="20"/>
        </w:rPr>
        <w:t>。</w:t>
      </w:r>
    </w:p>
    <w:p w:rsidR="00D06FE7" w:rsidRDefault="00D06FE7" w:rsidP="00D06FE7">
      <w:pPr>
        <w:spacing w:line="240" w:lineRule="auto"/>
        <w:ind w:firstLineChars="202" w:firstLine="404"/>
        <w:jc w:val="center"/>
        <w:rPr>
          <w:rFonts w:ascii="新細明體" w:eastAsia="新細明體" w:hAnsi="新細明體"/>
          <w:sz w:val="20"/>
          <w:szCs w:val="20"/>
        </w:rPr>
      </w:pPr>
      <w:r>
        <w:rPr>
          <w:rFonts w:ascii="新細明體" w:eastAsia="新細明體" w:hAnsi="新細明體"/>
          <w:noProof/>
          <w:sz w:val="20"/>
          <w:szCs w:val="20"/>
        </w:rPr>
        <w:pict>
          <v:shape id="圖片 4" o:spid="_x0000_i1034" type="#_x0000_t75" style="width:204pt;height:145.5pt;visibility:visible">
            <v:imagedata r:id="rId25" o:title=""/>
          </v:shape>
        </w:pict>
      </w:r>
    </w:p>
    <w:p w:rsidR="00D06FE7" w:rsidRPr="00BA76F4" w:rsidRDefault="00D06FE7" w:rsidP="00D06FE7">
      <w:pPr>
        <w:pStyle w:val="aa"/>
        <w:spacing w:line="240" w:lineRule="auto"/>
        <w:ind w:leftChars="0" w:left="357" w:firstLineChars="0" w:firstLine="0"/>
        <w:jc w:val="center"/>
        <w:rPr>
          <w:rFonts w:eastAsia="新細明體"/>
          <w:sz w:val="20"/>
        </w:rPr>
      </w:pPr>
      <w:r w:rsidRPr="00BA76F4">
        <w:rPr>
          <w:rFonts w:eastAsia="新細明體" w:hint="eastAsia"/>
          <w:sz w:val="20"/>
        </w:rPr>
        <w:t>圖</w:t>
      </w:r>
      <w:r w:rsidRPr="00BA76F4">
        <w:rPr>
          <w:rFonts w:eastAsia="新細明體"/>
          <w:sz w:val="20"/>
        </w:rPr>
        <w:t>6 NISSAN Sentra M1</w:t>
      </w:r>
    </w:p>
    <w:p w:rsidR="00D06FE7" w:rsidRPr="00BA76F4" w:rsidRDefault="00D06FE7" w:rsidP="00D06FE7">
      <w:pPr>
        <w:spacing w:line="240" w:lineRule="auto"/>
        <w:ind w:firstLineChars="202" w:firstLine="404"/>
        <w:jc w:val="center"/>
        <w:rPr>
          <w:rFonts w:eastAsia="新細明體"/>
          <w:noProof/>
          <w:sz w:val="20"/>
          <w:szCs w:val="20"/>
        </w:rPr>
      </w:pPr>
      <w:r w:rsidRPr="00BA76F4">
        <w:rPr>
          <w:rFonts w:eastAsia="新細明體" w:hint="eastAsia"/>
          <w:noProof/>
          <w:sz w:val="20"/>
          <w:szCs w:val="20"/>
        </w:rPr>
        <w:t>表</w:t>
      </w:r>
      <w:r w:rsidRPr="00BA76F4">
        <w:rPr>
          <w:rFonts w:eastAsia="新細明體"/>
          <w:noProof/>
          <w:sz w:val="20"/>
          <w:szCs w:val="20"/>
        </w:rPr>
        <w:t>2.</w:t>
      </w:r>
      <w:r w:rsidRPr="00BA76F4">
        <w:rPr>
          <w:rFonts w:eastAsia="新細明體" w:hint="eastAsia"/>
          <w:noProof/>
          <w:sz w:val="20"/>
          <w:szCs w:val="20"/>
        </w:rPr>
        <w:t>實驗車輛規格表</w:t>
      </w:r>
    </w:p>
    <w:tbl>
      <w:tblPr>
        <w:tblW w:w="0" w:type="auto"/>
        <w:jc w:val="center"/>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0"/>
        <w:gridCol w:w="2620"/>
      </w:tblGrid>
      <w:tr w:rsidR="00D06FE7" w:rsidRPr="00BA76F4" w:rsidTr="0085395E">
        <w:trPr>
          <w:trHeight w:val="956"/>
          <w:jc w:val="center"/>
        </w:trPr>
        <w:tc>
          <w:tcPr>
            <w:tcW w:w="2620" w:type="dxa"/>
          </w:tcPr>
          <w:p w:rsidR="00D06FE7" w:rsidRPr="00BA76F4" w:rsidRDefault="00D06FE7" w:rsidP="0085395E">
            <w:pPr>
              <w:ind w:firstLine="400"/>
              <w:jc w:val="both"/>
              <w:rPr>
                <w:rFonts w:eastAsia="新細明體"/>
                <w:sz w:val="20"/>
                <w:szCs w:val="20"/>
              </w:rPr>
            </w:pPr>
          </w:p>
        </w:tc>
        <w:tc>
          <w:tcPr>
            <w:tcW w:w="2620" w:type="dxa"/>
          </w:tcPr>
          <w:p w:rsidR="00D06FE7" w:rsidRPr="00BA76F4" w:rsidRDefault="00D06FE7" w:rsidP="0085395E">
            <w:pPr>
              <w:ind w:firstLineChars="0" w:firstLine="0"/>
              <w:jc w:val="both"/>
              <w:rPr>
                <w:rFonts w:eastAsia="新細明體"/>
                <w:sz w:val="20"/>
                <w:szCs w:val="20"/>
              </w:rPr>
            </w:pPr>
            <w:r w:rsidRPr="00BA76F4">
              <w:rPr>
                <w:rFonts w:eastAsia="新細明體" w:hint="eastAsia"/>
                <w:sz w:val="20"/>
                <w:szCs w:val="20"/>
              </w:rPr>
              <w:t>日產汽車</w:t>
            </w:r>
          </w:p>
          <w:p w:rsidR="00D06FE7" w:rsidRPr="00BA76F4" w:rsidRDefault="00D06FE7" w:rsidP="0085395E">
            <w:pPr>
              <w:ind w:firstLineChars="0" w:firstLine="0"/>
              <w:jc w:val="both"/>
              <w:rPr>
                <w:rFonts w:eastAsia="新細明體"/>
                <w:sz w:val="20"/>
                <w:szCs w:val="20"/>
              </w:rPr>
            </w:pPr>
            <w:r w:rsidRPr="00BA76F4">
              <w:rPr>
                <w:rFonts w:eastAsia="新細明體"/>
                <w:sz w:val="20"/>
                <w:szCs w:val="20"/>
              </w:rPr>
              <w:t>Sentra M1</w:t>
            </w:r>
          </w:p>
        </w:tc>
      </w:tr>
      <w:tr w:rsidR="00D06FE7" w:rsidRPr="00BA76F4" w:rsidTr="0085395E">
        <w:trPr>
          <w:trHeight w:val="469"/>
          <w:jc w:val="center"/>
        </w:trPr>
        <w:tc>
          <w:tcPr>
            <w:tcW w:w="2620" w:type="dxa"/>
          </w:tcPr>
          <w:p w:rsidR="00D06FE7" w:rsidRPr="00BA76F4" w:rsidRDefault="00D06FE7" w:rsidP="0085395E">
            <w:pPr>
              <w:ind w:firstLineChars="0" w:firstLine="0"/>
              <w:jc w:val="both"/>
              <w:rPr>
                <w:rFonts w:eastAsia="新細明體"/>
                <w:sz w:val="20"/>
                <w:szCs w:val="20"/>
              </w:rPr>
            </w:pPr>
            <w:r w:rsidRPr="00BA76F4">
              <w:rPr>
                <w:rFonts w:eastAsia="新細明體" w:hint="eastAsia"/>
                <w:sz w:val="20"/>
                <w:szCs w:val="20"/>
              </w:rPr>
              <w:t>排氣量</w:t>
            </w:r>
          </w:p>
        </w:tc>
        <w:tc>
          <w:tcPr>
            <w:tcW w:w="2620" w:type="dxa"/>
          </w:tcPr>
          <w:p w:rsidR="00D06FE7" w:rsidRPr="00BA76F4" w:rsidRDefault="00D06FE7" w:rsidP="0085395E">
            <w:pPr>
              <w:ind w:firstLineChars="0" w:firstLine="0"/>
              <w:jc w:val="both"/>
              <w:rPr>
                <w:rFonts w:eastAsia="新細明體"/>
                <w:sz w:val="20"/>
                <w:szCs w:val="20"/>
              </w:rPr>
            </w:pP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1769 c</w:t>
              </w:r>
            </w:smartTag>
            <w:r w:rsidRPr="00BA76F4">
              <w:rPr>
                <w:rFonts w:eastAsia="新細明體"/>
                <w:sz w:val="20"/>
                <w:szCs w:val="20"/>
              </w:rPr>
              <w:t>.c.</w:t>
            </w:r>
          </w:p>
        </w:tc>
      </w:tr>
      <w:tr w:rsidR="00D06FE7" w:rsidRPr="00BA76F4" w:rsidTr="0085395E">
        <w:trPr>
          <w:trHeight w:val="478"/>
          <w:jc w:val="center"/>
        </w:trPr>
        <w:tc>
          <w:tcPr>
            <w:tcW w:w="2620" w:type="dxa"/>
          </w:tcPr>
          <w:p w:rsidR="00D06FE7" w:rsidRPr="00BA76F4" w:rsidRDefault="00D06FE7" w:rsidP="0085395E">
            <w:pPr>
              <w:ind w:firstLineChars="0" w:firstLine="0"/>
              <w:jc w:val="both"/>
              <w:rPr>
                <w:rFonts w:eastAsia="新細明體"/>
                <w:sz w:val="20"/>
                <w:szCs w:val="20"/>
              </w:rPr>
            </w:pPr>
            <w:r w:rsidRPr="00BA76F4">
              <w:rPr>
                <w:rFonts w:eastAsia="新細明體" w:hint="eastAsia"/>
                <w:sz w:val="20"/>
                <w:szCs w:val="20"/>
              </w:rPr>
              <w:t>馬力</w:t>
            </w:r>
          </w:p>
        </w:tc>
        <w:tc>
          <w:tcPr>
            <w:tcW w:w="2620" w:type="dxa"/>
          </w:tcPr>
          <w:p w:rsidR="00D06FE7" w:rsidRPr="00BA76F4" w:rsidRDefault="00D06FE7" w:rsidP="0085395E">
            <w:pPr>
              <w:ind w:firstLineChars="0" w:firstLine="0"/>
              <w:jc w:val="both"/>
              <w:rPr>
                <w:rFonts w:eastAsia="新細明體"/>
                <w:sz w:val="20"/>
                <w:szCs w:val="20"/>
              </w:rPr>
            </w:pPr>
            <w:r w:rsidRPr="00BA76F4">
              <w:rPr>
                <w:rFonts w:eastAsia="新細明體"/>
                <w:sz w:val="20"/>
                <w:szCs w:val="20"/>
              </w:rPr>
              <w:t>131 ps / 6000 rpm</w:t>
            </w:r>
          </w:p>
        </w:tc>
      </w:tr>
      <w:tr w:rsidR="00D06FE7" w:rsidRPr="00BA76F4" w:rsidTr="0085395E">
        <w:trPr>
          <w:trHeight w:val="478"/>
          <w:jc w:val="center"/>
        </w:trPr>
        <w:tc>
          <w:tcPr>
            <w:tcW w:w="2620" w:type="dxa"/>
          </w:tcPr>
          <w:p w:rsidR="00D06FE7" w:rsidRPr="00BA76F4" w:rsidRDefault="00D06FE7" w:rsidP="0085395E">
            <w:pPr>
              <w:ind w:firstLineChars="0" w:firstLine="0"/>
              <w:jc w:val="both"/>
              <w:rPr>
                <w:rFonts w:eastAsia="新細明體"/>
                <w:sz w:val="20"/>
                <w:szCs w:val="20"/>
              </w:rPr>
            </w:pPr>
            <w:r w:rsidRPr="00BA76F4">
              <w:rPr>
                <w:rFonts w:eastAsia="新細明體" w:hint="eastAsia"/>
                <w:sz w:val="20"/>
                <w:szCs w:val="20"/>
              </w:rPr>
              <w:t>扭力</w:t>
            </w:r>
          </w:p>
        </w:tc>
        <w:tc>
          <w:tcPr>
            <w:tcW w:w="2620" w:type="dxa"/>
          </w:tcPr>
          <w:p w:rsidR="00D06FE7" w:rsidRPr="00BA76F4" w:rsidRDefault="00D06FE7" w:rsidP="0085395E">
            <w:pPr>
              <w:ind w:firstLineChars="0" w:firstLine="0"/>
              <w:jc w:val="both"/>
              <w:rPr>
                <w:rFonts w:eastAsia="新細明體"/>
                <w:sz w:val="20"/>
                <w:szCs w:val="20"/>
              </w:rPr>
            </w:pP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16.7 Kg</w:t>
              </w:r>
            </w:smartTag>
            <w:r w:rsidRPr="00BA76F4">
              <w:rPr>
                <w:rFonts w:eastAsia="新細明體"/>
                <w:sz w:val="20"/>
                <w:szCs w:val="20"/>
              </w:rPr>
              <w:t>-m / 4400 rpm</w:t>
            </w:r>
          </w:p>
        </w:tc>
      </w:tr>
      <w:tr w:rsidR="00D06FE7" w:rsidRPr="00BA76F4" w:rsidTr="0085395E">
        <w:trPr>
          <w:trHeight w:val="469"/>
          <w:jc w:val="center"/>
        </w:trPr>
        <w:tc>
          <w:tcPr>
            <w:tcW w:w="2620" w:type="dxa"/>
          </w:tcPr>
          <w:p w:rsidR="00D06FE7" w:rsidRPr="00BA76F4" w:rsidRDefault="00D06FE7" w:rsidP="0085395E">
            <w:pPr>
              <w:ind w:firstLineChars="0" w:firstLine="0"/>
              <w:jc w:val="both"/>
              <w:rPr>
                <w:rFonts w:eastAsia="新細明體"/>
                <w:sz w:val="20"/>
                <w:szCs w:val="20"/>
              </w:rPr>
            </w:pPr>
            <w:r w:rsidRPr="00BA76F4">
              <w:rPr>
                <w:rFonts w:eastAsia="新細明體" w:hint="eastAsia"/>
                <w:sz w:val="20"/>
                <w:szCs w:val="20"/>
              </w:rPr>
              <w:t>車長</w:t>
            </w:r>
          </w:p>
        </w:tc>
        <w:tc>
          <w:tcPr>
            <w:tcW w:w="2620" w:type="dxa"/>
          </w:tcPr>
          <w:p w:rsidR="00D06FE7" w:rsidRPr="00BA76F4" w:rsidRDefault="00D06FE7" w:rsidP="0085395E">
            <w:pPr>
              <w:ind w:firstLineChars="0" w:firstLine="0"/>
              <w:jc w:val="both"/>
              <w:rPr>
                <w:rFonts w:eastAsia="新細明體"/>
                <w:sz w:val="20"/>
                <w:szCs w:val="20"/>
              </w:rPr>
            </w:pP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4470mm</w:t>
              </w:r>
            </w:smartTag>
          </w:p>
        </w:tc>
      </w:tr>
      <w:tr w:rsidR="00D06FE7" w:rsidRPr="00BA76F4" w:rsidTr="0085395E">
        <w:trPr>
          <w:trHeight w:val="478"/>
          <w:jc w:val="center"/>
        </w:trPr>
        <w:tc>
          <w:tcPr>
            <w:tcW w:w="2620" w:type="dxa"/>
          </w:tcPr>
          <w:p w:rsidR="00D06FE7" w:rsidRPr="00BA76F4" w:rsidRDefault="00D06FE7" w:rsidP="0085395E">
            <w:pPr>
              <w:ind w:firstLineChars="0" w:firstLine="0"/>
              <w:jc w:val="both"/>
              <w:rPr>
                <w:rFonts w:eastAsia="新細明體"/>
                <w:sz w:val="20"/>
                <w:szCs w:val="20"/>
              </w:rPr>
            </w:pPr>
            <w:r w:rsidRPr="00BA76F4">
              <w:rPr>
                <w:rFonts w:eastAsia="新細明體" w:hint="eastAsia"/>
                <w:sz w:val="20"/>
                <w:szCs w:val="20"/>
              </w:rPr>
              <w:t>車寬</w:t>
            </w:r>
          </w:p>
        </w:tc>
        <w:tc>
          <w:tcPr>
            <w:tcW w:w="2620" w:type="dxa"/>
          </w:tcPr>
          <w:p w:rsidR="00D06FE7" w:rsidRPr="00BA76F4" w:rsidRDefault="00D06FE7" w:rsidP="0085395E">
            <w:pPr>
              <w:ind w:firstLineChars="0" w:firstLine="0"/>
              <w:jc w:val="both"/>
              <w:rPr>
                <w:rFonts w:eastAsia="新細明體"/>
                <w:sz w:val="20"/>
                <w:szCs w:val="20"/>
              </w:rPr>
            </w:pP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1710mm</w:t>
              </w:r>
            </w:smartTag>
          </w:p>
        </w:tc>
      </w:tr>
      <w:tr w:rsidR="00D06FE7" w:rsidRPr="00BA76F4" w:rsidTr="0085395E">
        <w:trPr>
          <w:trHeight w:val="478"/>
          <w:jc w:val="center"/>
        </w:trPr>
        <w:tc>
          <w:tcPr>
            <w:tcW w:w="2620" w:type="dxa"/>
          </w:tcPr>
          <w:p w:rsidR="00D06FE7" w:rsidRPr="00BA76F4" w:rsidRDefault="00D06FE7" w:rsidP="0085395E">
            <w:pPr>
              <w:ind w:firstLineChars="0" w:firstLine="0"/>
              <w:jc w:val="both"/>
              <w:rPr>
                <w:rFonts w:eastAsia="新細明體"/>
                <w:sz w:val="20"/>
                <w:szCs w:val="20"/>
              </w:rPr>
            </w:pPr>
            <w:r w:rsidRPr="00BA76F4">
              <w:rPr>
                <w:rFonts w:eastAsia="新細明體" w:hint="eastAsia"/>
                <w:sz w:val="20"/>
                <w:szCs w:val="20"/>
              </w:rPr>
              <w:t>車高</w:t>
            </w:r>
          </w:p>
        </w:tc>
        <w:tc>
          <w:tcPr>
            <w:tcW w:w="2620" w:type="dxa"/>
          </w:tcPr>
          <w:p w:rsidR="00D06FE7" w:rsidRPr="00BA76F4" w:rsidRDefault="00D06FE7" w:rsidP="0085395E">
            <w:pPr>
              <w:ind w:firstLineChars="0" w:firstLine="0"/>
              <w:jc w:val="both"/>
              <w:rPr>
                <w:rFonts w:eastAsia="新細明體"/>
                <w:sz w:val="20"/>
                <w:szCs w:val="20"/>
              </w:rPr>
            </w:pP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1440mm</w:t>
              </w:r>
            </w:smartTag>
          </w:p>
        </w:tc>
      </w:tr>
      <w:tr w:rsidR="00D06FE7" w:rsidRPr="00BA76F4" w:rsidTr="0085395E">
        <w:trPr>
          <w:trHeight w:val="478"/>
          <w:jc w:val="center"/>
        </w:trPr>
        <w:tc>
          <w:tcPr>
            <w:tcW w:w="2620" w:type="dxa"/>
          </w:tcPr>
          <w:p w:rsidR="00D06FE7" w:rsidRPr="00BA76F4" w:rsidRDefault="00D06FE7" w:rsidP="0085395E">
            <w:pPr>
              <w:ind w:firstLineChars="0" w:firstLine="0"/>
              <w:jc w:val="both"/>
              <w:rPr>
                <w:rFonts w:eastAsia="新細明體"/>
                <w:sz w:val="20"/>
                <w:szCs w:val="20"/>
              </w:rPr>
            </w:pPr>
            <w:r w:rsidRPr="00BA76F4">
              <w:rPr>
                <w:rFonts w:eastAsia="新細明體" w:hint="eastAsia"/>
                <w:sz w:val="20"/>
                <w:szCs w:val="20"/>
              </w:rPr>
              <w:t>車重</w:t>
            </w:r>
          </w:p>
        </w:tc>
        <w:tc>
          <w:tcPr>
            <w:tcW w:w="2620" w:type="dxa"/>
          </w:tcPr>
          <w:p w:rsidR="00D06FE7" w:rsidRPr="00BA76F4" w:rsidRDefault="00D06FE7" w:rsidP="0085395E">
            <w:pPr>
              <w:ind w:firstLineChars="0" w:firstLine="0"/>
              <w:jc w:val="both"/>
              <w:rPr>
                <w:rFonts w:eastAsia="新細明體"/>
                <w:sz w:val="20"/>
                <w:szCs w:val="20"/>
              </w:rPr>
            </w:pPr>
            <w:r w:rsidRPr="00BA76F4">
              <w:rPr>
                <w:rFonts w:eastAsia="新細明體"/>
                <w:sz w:val="20"/>
                <w:szCs w:val="20"/>
              </w:rPr>
              <w:t>1280±</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50kg</w:t>
              </w:r>
            </w:smartTag>
          </w:p>
        </w:tc>
      </w:tr>
    </w:tbl>
    <w:p w:rsidR="00D06FE7" w:rsidRDefault="00D06FE7" w:rsidP="00D06FE7">
      <w:pPr>
        <w:spacing w:line="240" w:lineRule="auto"/>
        <w:ind w:firstLineChars="0" w:firstLine="0"/>
        <w:rPr>
          <w:rFonts w:eastAsia="新細明體"/>
          <w:sz w:val="20"/>
          <w:szCs w:val="20"/>
        </w:rPr>
      </w:pPr>
      <w:r>
        <w:rPr>
          <w:rFonts w:eastAsia="新細明體"/>
          <w:sz w:val="20"/>
          <w:szCs w:val="20"/>
        </w:rPr>
        <w:t>(2)</w:t>
      </w:r>
      <w:r w:rsidRPr="00BA76F4">
        <w:rPr>
          <w:rFonts w:eastAsia="新細明體" w:hint="eastAsia"/>
          <w:sz w:val="20"/>
          <w:szCs w:val="20"/>
        </w:rPr>
        <w:t>起動電瓶鉛酸電瓶、</w:t>
      </w:r>
      <w:proofErr w:type="gramStart"/>
      <w:r w:rsidRPr="00BA76F4">
        <w:rPr>
          <w:rFonts w:eastAsia="新細明體" w:hint="eastAsia"/>
          <w:sz w:val="20"/>
          <w:szCs w:val="20"/>
        </w:rPr>
        <w:t>鋰鐵電瓶</w:t>
      </w:r>
      <w:proofErr w:type="gramEnd"/>
      <w:r w:rsidRPr="00BA76F4">
        <w:rPr>
          <w:rFonts w:eastAsia="新細明體" w:hint="eastAsia"/>
          <w:sz w:val="20"/>
          <w:szCs w:val="20"/>
        </w:rPr>
        <w:t>圖</w:t>
      </w:r>
      <w:r w:rsidRPr="00BA76F4">
        <w:rPr>
          <w:rFonts w:eastAsia="新細明體"/>
          <w:sz w:val="20"/>
          <w:szCs w:val="20"/>
        </w:rPr>
        <w:t>7</w:t>
      </w:r>
      <w:r w:rsidRPr="00BA76F4">
        <w:rPr>
          <w:rFonts w:eastAsia="新細明體" w:hint="eastAsia"/>
          <w:sz w:val="20"/>
          <w:szCs w:val="20"/>
        </w:rPr>
        <w:t>，規格如表</w:t>
      </w:r>
      <w:r w:rsidRPr="00BA76F4">
        <w:rPr>
          <w:rFonts w:eastAsia="新細明體"/>
          <w:sz w:val="20"/>
          <w:szCs w:val="20"/>
        </w:rPr>
        <w:t>3</w:t>
      </w:r>
      <w:r>
        <w:rPr>
          <w:rFonts w:eastAsia="新細明體" w:hint="eastAsia"/>
          <w:sz w:val="20"/>
          <w:szCs w:val="20"/>
        </w:rPr>
        <w:t>。</w:t>
      </w:r>
    </w:p>
    <w:p w:rsidR="00D06FE7" w:rsidRDefault="00D06FE7" w:rsidP="00D06FE7">
      <w:pPr>
        <w:spacing w:line="240" w:lineRule="auto"/>
        <w:ind w:firstLineChars="202" w:firstLine="404"/>
        <w:jc w:val="center"/>
        <w:rPr>
          <w:rFonts w:eastAsia="新細明體"/>
          <w:sz w:val="20"/>
          <w:szCs w:val="20"/>
        </w:rPr>
      </w:pPr>
      <w:r>
        <w:rPr>
          <w:rFonts w:eastAsia="新細明體"/>
          <w:noProof/>
          <w:sz w:val="20"/>
          <w:szCs w:val="20"/>
        </w:rPr>
        <w:pict>
          <v:shape id="圖片 5" o:spid="_x0000_i1035" type="#_x0000_t75" style="width:141pt;height:123pt;visibility:visible">
            <v:imagedata r:id="rId26" o:title=""/>
          </v:shape>
        </w:pict>
      </w:r>
      <w:r>
        <w:rPr>
          <w:rFonts w:eastAsia="新細明體"/>
          <w:noProof/>
          <w:sz w:val="20"/>
          <w:szCs w:val="20"/>
        </w:rPr>
        <w:pict>
          <v:shape id="圖片 6" o:spid="_x0000_i1036" type="#_x0000_t75" style="width:217.5pt;height:123pt;visibility:visible">
            <v:imagedata r:id="rId27" o:title=""/>
          </v:shape>
        </w:pict>
      </w:r>
    </w:p>
    <w:p w:rsidR="00D06FE7" w:rsidRPr="00BA76F4" w:rsidRDefault="00D06FE7" w:rsidP="00D06FE7">
      <w:pPr>
        <w:pStyle w:val="ac"/>
        <w:spacing w:line="240" w:lineRule="auto"/>
        <w:ind w:firstLine="403"/>
        <w:rPr>
          <w:rFonts w:eastAsia="新細明體"/>
          <w:sz w:val="20"/>
          <w:szCs w:val="20"/>
        </w:rPr>
      </w:pPr>
      <w:bookmarkStart w:id="1" w:name="_Toc394053114"/>
      <w:r w:rsidRPr="00BA76F4">
        <w:rPr>
          <w:rFonts w:eastAsia="新細明體" w:hint="eastAsia"/>
          <w:sz w:val="20"/>
          <w:szCs w:val="20"/>
        </w:rPr>
        <w:t>圖</w:t>
      </w:r>
      <w:r w:rsidRPr="00BA76F4">
        <w:rPr>
          <w:rFonts w:eastAsia="新細明體"/>
          <w:sz w:val="20"/>
          <w:szCs w:val="20"/>
        </w:rPr>
        <w:t xml:space="preserve">7 </w:t>
      </w:r>
      <w:r w:rsidRPr="00BA76F4">
        <w:rPr>
          <w:rFonts w:eastAsia="新細明體" w:hint="eastAsia"/>
          <w:sz w:val="20"/>
          <w:szCs w:val="20"/>
        </w:rPr>
        <w:t>鉛酸電瓶、鋰鐵電瓶</w:t>
      </w:r>
      <w:bookmarkEnd w:id="1"/>
    </w:p>
    <w:p w:rsidR="00D06FE7" w:rsidRPr="00BA76F4" w:rsidRDefault="00D06FE7" w:rsidP="00D06FE7">
      <w:pPr>
        <w:pStyle w:val="ae"/>
        <w:spacing w:line="240" w:lineRule="auto"/>
        <w:ind w:firstLine="403"/>
        <w:rPr>
          <w:rFonts w:eastAsia="新細明體"/>
          <w:szCs w:val="20"/>
        </w:rPr>
      </w:pPr>
      <w:bookmarkStart w:id="2" w:name="_Toc394055096"/>
      <w:r w:rsidRPr="00BA76F4">
        <w:rPr>
          <w:rFonts w:eastAsia="新細明體" w:hint="eastAsia"/>
          <w:szCs w:val="20"/>
        </w:rPr>
        <w:t>表</w:t>
      </w:r>
      <w:r w:rsidRPr="00BA76F4">
        <w:rPr>
          <w:rFonts w:eastAsia="新細明體"/>
          <w:szCs w:val="20"/>
        </w:rPr>
        <w:t xml:space="preserve">3. </w:t>
      </w:r>
      <w:r w:rsidRPr="00BA76F4">
        <w:rPr>
          <w:rFonts w:eastAsia="新細明體" w:hint="eastAsia"/>
          <w:szCs w:val="20"/>
        </w:rPr>
        <w:t>鉛酸電瓶、鋰鐵電瓶規格表</w:t>
      </w:r>
      <w:bookmarkEnd w:id="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7"/>
        <w:gridCol w:w="1162"/>
        <w:gridCol w:w="2782"/>
        <w:gridCol w:w="1775"/>
      </w:tblGrid>
      <w:tr w:rsidR="00D06FE7" w:rsidRPr="00BA76F4" w:rsidTr="00E700EB">
        <w:trPr>
          <w:trHeight w:val="238"/>
          <w:jc w:val="center"/>
        </w:trPr>
        <w:tc>
          <w:tcPr>
            <w:tcW w:w="2579" w:type="dxa"/>
            <w:gridSpan w:val="2"/>
            <w:vAlign w:val="center"/>
          </w:tcPr>
          <w:p w:rsidR="00D06FE7" w:rsidRPr="00DA19D5" w:rsidRDefault="00D06FE7" w:rsidP="00E700EB">
            <w:pPr>
              <w:pStyle w:val="aa"/>
              <w:ind w:leftChars="0" w:left="0" w:firstLine="400"/>
              <w:jc w:val="both"/>
              <w:rPr>
                <w:rFonts w:eastAsia="新細明體"/>
                <w:kern w:val="2"/>
                <w:sz w:val="20"/>
              </w:rPr>
            </w:pPr>
          </w:p>
        </w:tc>
        <w:tc>
          <w:tcPr>
            <w:tcW w:w="2782" w:type="dxa"/>
            <w:vAlign w:val="center"/>
          </w:tcPr>
          <w:p w:rsidR="00D06FE7" w:rsidRPr="00BA76F4" w:rsidRDefault="00D06FE7" w:rsidP="00E700EB">
            <w:pPr>
              <w:ind w:firstLineChars="0" w:firstLine="0"/>
              <w:jc w:val="both"/>
              <w:rPr>
                <w:rFonts w:eastAsia="新細明體"/>
                <w:sz w:val="20"/>
                <w:szCs w:val="20"/>
              </w:rPr>
            </w:pPr>
            <w:r w:rsidRPr="00BA76F4">
              <w:rPr>
                <w:rFonts w:eastAsia="新細明體" w:hint="eastAsia"/>
                <w:sz w:val="20"/>
                <w:szCs w:val="20"/>
              </w:rPr>
              <w:t>鉛酸電瓶</w:t>
            </w:r>
          </w:p>
        </w:tc>
        <w:tc>
          <w:tcPr>
            <w:tcW w:w="1775" w:type="dxa"/>
            <w:vAlign w:val="center"/>
          </w:tcPr>
          <w:p w:rsidR="00D06FE7" w:rsidRPr="00BA76F4" w:rsidRDefault="00D06FE7" w:rsidP="00E700EB">
            <w:pPr>
              <w:ind w:firstLineChars="0" w:firstLine="0"/>
              <w:jc w:val="both"/>
              <w:rPr>
                <w:rFonts w:eastAsia="新細明體"/>
                <w:sz w:val="20"/>
                <w:szCs w:val="20"/>
              </w:rPr>
            </w:pPr>
            <w:r w:rsidRPr="00BA76F4">
              <w:rPr>
                <w:rFonts w:eastAsia="新細明體" w:hint="eastAsia"/>
                <w:sz w:val="20"/>
                <w:szCs w:val="20"/>
              </w:rPr>
              <w:t>鋰鐵電瓶</w:t>
            </w:r>
          </w:p>
        </w:tc>
      </w:tr>
      <w:tr w:rsidR="00D06FE7" w:rsidRPr="00BA76F4" w:rsidTr="00E700EB">
        <w:trPr>
          <w:trHeight w:val="238"/>
          <w:jc w:val="center"/>
        </w:trPr>
        <w:tc>
          <w:tcPr>
            <w:tcW w:w="2579" w:type="dxa"/>
            <w:gridSpan w:val="2"/>
            <w:vAlign w:val="center"/>
          </w:tcPr>
          <w:p w:rsidR="00D06FE7" w:rsidRPr="00BA76F4" w:rsidRDefault="00D06FE7" w:rsidP="00E700EB">
            <w:pPr>
              <w:ind w:firstLineChars="0" w:firstLine="0"/>
              <w:jc w:val="both"/>
              <w:rPr>
                <w:rFonts w:eastAsia="新細明體"/>
                <w:sz w:val="20"/>
                <w:szCs w:val="20"/>
              </w:rPr>
            </w:pPr>
            <w:r w:rsidRPr="00BA76F4">
              <w:rPr>
                <w:rFonts w:eastAsia="新細明體" w:hint="eastAsia"/>
                <w:sz w:val="20"/>
                <w:szCs w:val="20"/>
              </w:rPr>
              <w:t>製造商</w:t>
            </w:r>
            <w:r w:rsidRPr="00BA76F4">
              <w:rPr>
                <w:rFonts w:eastAsia="新細明體"/>
                <w:sz w:val="20"/>
                <w:szCs w:val="20"/>
              </w:rPr>
              <w:t>/</w:t>
            </w:r>
            <w:r w:rsidRPr="00BA76F4">
              <w:rPr>
                <w:rFonts w:eastAsia="新細明體" w:hint="eastAsia"/>
                <w:sz w:val="20"/>
                <w:szCs w:val="20"/>
              </w:rPr>
              <w:t>型號</w:t>
            </w:r>
          </w:p>
        </w:tc>
        <w:tc>
          <w:tcPr>
            <w:tcW w:w="2782" w:type="dxa"/>
            <w:vAlign w:val="center"/>
          </w:tcPr>
          <w:p w:rsidR="00D06FE7" w:rsidRPr="00BA76F4" w:rsidRDefault="00D06FE7" w:rsidP="00E700EB">
            <w:pPr>
              <w:ind w:firstLineChars="0" w:firstLine="0"/>
              <w:jc w:val="both"/>
              <w:rPr>
                <w:rFonts w:eastAsia="新細明體"/>
                <w:sz w:val="20"/>
                <w:szCs w:val="20"/>
              </w:rPr>
            </w:pPr>
            <w:r w:rsidRPr="00BA76F4">
              <w:rPr>
                <w:rFonts w:eastAsia="新細明體" w:hint="eastAsia"/>
                <w:sz w:val="20"/>
                <w:szCs w:val="20"/>
              </w:rPr>
              <w:t>湯淺</w:t>
            </w:r>
            <w:r w:rsidRPr="00BA76F4">
              <w:rPr>
                <w:rFonts w:eastAsia="新細明體"/>
                <w:sz w:val="20"/>
                <w:szCs w:val="20"/>
              </w:rPr>
              <w:t>/55D</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23L</w:t>
              </w:r>
            </w:smartTag>
          </w:p>
        </w:tc>
        <w:tc>
          <w:tcPr>
            <w:tcW w:w="1775" w:type="dxa"/>
            <w:vAlign w:val="center"/>
          </w:tcPr>
          <w:p w:rsidR="00D06FE7" w:rsidRPr="00BA76F4" w:rsidRDefault="00D06FE7" w:rsidP="00E700EB">
            <w:pPr>
              <w:ind w:firstLineChars="0" w:firstLine="0"/>
              <w:jc w:val="both"/>
              <w:rPr>
                <w:rFonts w:eastAsia="新細明體"/>
                <w:sz w:val="20"/>
                <w:szCs w:val="20"/>
              </w:rPr>
            </w:pPr>
            <w:r w:rsidRPr="00BA76F4">
              <w:rPr>
                <w:rFonts w:eastAsia="新細明體"/>
                <w:sz w:val="20"/>
                <w:szCs w:val="20"/>
              </w:rPr>
              <w:t xml:space="preserve">. </w:t>
            </w:r>
            <w:r w:rsidRPr="00BA76F4">
              <w:rPr>
                <w:rFonts w:eastAsia="新細明體" w:hint="eastAsia"/>
                <w:sz w:val="20"/>
                <w:szCs w:val="20"/>
              </w:rPr>
              <w:t>台塑</w:t>
            </w:r>
            <w:r w:rsidRPr="00BA76F4">
              <w:rPr>
                <w:rFonts w:eastAsia="新細明體"/>
                <w:sz w:val="20"/>
                <w:szCs w:val="20"/>
              </w:rPr>
              <w:t>/36AH</w:t>
            </w:r>
          </w:p>
        </w:tc>
      </w:tr>
      <w:tr w:rsidR="00D06FE7" w:rsidRPr="00BA76F4" w:rsidTr="00E700EB">
        <w:trPr>
          <w:trHeight w:val="238"/>
          <w:jc w:val="center"/>
        </w:trPr>
        <w:tc>
          <w:tcPr>
            <w:tcW w:w="1417" w:type="dxa"/>
            <w:vMerge w:val="restart"/>
            <w:vAlign w:val="center"/>
          </w:tcPr>
          <w:p w:rsidR="00D06FE7" w:rsidRPr="00BA76F4" w:rsidRDefault="00D06FE7" w:rsidP="00E700EB">
            <w:pPr>
              <w:ind w:firstLineChars="0" w:firstLine="0"/>
              <w:jc w:val="both"/>
              <w:rPr>
                <w:rFonts w:eastAsia="新細明體"/>
                <w:sz w:val="20"/>
                <w:szCs w:val="20"/>
              </w:rPr>
            </w:pPr>
            <w:r w:rsidRPr="00BA76F4">
              <w:rPr>
                <w:rFonts w:eastAsia="新細明體" w:hint="eastAsia"/>
                <w:sz w:val="20"/>
                <w:szCs w:val="20"/>
              </w:rPr>
              <w:t>容量</w:t>
            </w:r>
            <w:r w:rsidRPr="00BA76F4">
              <w:rPr>
                <w:rFonts w:eastAsia="新細明體"/>
                <w:sz w:val="20"/>
                <w:szCs w:val="20"/>
              </w:rPr>
              <w:t>(AH)</w:t>
            </w:r>
          </w:p>
        </w:tc>
        <w:tc>
          <w:tcPr>
            <w:tcW w:w="1162" w:type="dxa"/>
            <w:vAlign w:val="center"/>
          </w:tcPr>
          <w:p w:rsidR="00D06FE7" w:rsidRPr="00BA76F4" w:rsidRDefault="00D06FE7" w:rsidP="00E700EB">
            <w:pPr>
              <w:ind w:firstLineChars="0" w:firstLine="0"/>
              <w:jc w:val="both"/>
              <w:rPr>
                <w:rFonts w:eastAsia="新細明體"/>
                <w:sz w:val="20"/>
                <w:szCs w:val="20"/>
              </w:rPr>
            </w:pPr>
            <w:r w:rsidRPr="00BA76F4">
              <w:rPr>
                <w:rFonts w:eastAsia="新細明體"/>
                <w:sz w:val="20"/>
                <w:szCs w:val="20"/>
              </w:rPr>
              <w:t>5HR</w:t>
            </w:r>
          </w:p>
        </w:tc>
        <w:tc>
          <w:tcPr>
            <w:tcW w:w="2782" w:type="dxa"/>
            <w:vAlign w:val="center"/>
          </w:tcPr>
          <w:p w:rsidR="00D06FE7" w:rsidRPr="00BA76F4" w:rsidRDefault="00D06FE7" w:rsidP="00E700EB">
            <w:pPr>
              <w:ind w:firstLineChars="0" w:firstLine="0"/>
              <w:jc w:val="both"/>
              <w:rPr>
                <w:rFonts w:eastAsia="新細明體"/>
                <w:sz w:val="20"/>
                <w:szCs w:val="20"/>
              </w:rPr>
            </w:pPr>
            <w:r w:rsidRPr="00BA76F4">
              <w:rPr>
                <w:rFonts w:eastAsia="新細明體"/>
                <w:sz w:val="20"/>
                <w:szCs w:val="20"/>
              </w:rPr>
              <w:t>48</w:t>
            </w:r>
          </w:p>
        </w:tc>
        <w:tc>
          <w:tcPr>
            <w:tcW w:w="1775" w:type="dxa"/>
            <w:vAlign w:val="center"/>
          </w:tcPr>
          <w:p w:rsidR="00D06FE7" w:rsidRPr="00BA76F4" w:rsidRDefault="00D06FE7" w:rsidP="00E700EB">
            <w:pPr>
              <w:ind w:firstLineChars="0" w:firstLine="0"/>
              <w:jc w:val="both"/>
              <w:rPr>
                <w:rFonts w:eastAsia="新細明體"/>
                <w:sz w:val="20"/>
                <w:szCs w:val="20"/>
              </w:rPr>
            </w:pPr>
            <w:r w:rsidRPr="00BA76F4">
              <w:rPr>
                <w:rFonts w:eastAsia="新細明體"/>
                <w:sz w:val="20"/>
                <w:szCs w:val="20"/>
              </w:rPr>
              <w:t>36</w:t>
            </w:r>
          </w:p>
        </w:tc>
      </w:tr>
      <w:tr w:rsidR="00D06FE7" w:rsidRPr="00BA76F4" w:rsidTr="00E700EB">
        <w:trPr>
          <w:trHeight w:val="62"/>
          <w:jc w:val="center"/>
        </w:trPr>
        <w:tc>
          <w:tcPr>
            <w:tcW w:w="1417" w:type="dxa"/>
            <w:vMerge/>
            <w:vAlign w:val="center"/>
          </w:tcPr>
          <w:p w:rsidR="00D06FE7" w:rsidRPr="00DA19D5" w:rsidRDefault="00D06FE7" w:rsidP="00E700EB">
            <w:pPr>
              <w:pStyle w:val="aa"/>
              <w:ind w:leftChars="0" w:left="0" w:firstLine="400"/>
              <w:jc w:val="both"/>
              <w:rPr>
                <w:rFonts w:eastAsia="新細明體"/>
                <w:kern w:val="2"/>
                <w:sz w:val="20"/>
              </w:rPr>
            </w:pPr>
          </w:p>
        </w:tc>
        <w:tc>
          <w:tcPr>
            <w:tcW w:w="1162" w:type="dxa"/>
            <w:vAlign w:val="center"/>
          </w:tcPr>
          <w:p w:rsidR="00D06FE7" w:rsidRPr="00BA76F4" w:rsidRDefault="00D06FE7" w:rsidP="00E700EB">
            <w:pPr>
              <w:ind w:firstLineChars="0" w:firstLine="0"/>
              <w:jc w:val="both"/>
              <w:rPr>
                <w:rFonts w:eastAsia="新細明體"/>
                <w:sz w:val="20"/>
                <w:szCs w:val="20"/>
              </w:rPr>
            </w:pPr>
            <w:r w:rsidRPr="00BA76F4">
              <w:rPr>
                <w:rFonts w:eastAsia="新細明體"/>
                <w:sz w:val="20"/>
                <w:szCs w:val="20"/>
              </w:rPr>
              <w:t>20HR</w:t>
            </w:r>
          </w:p>
        </w:tc>
        <w:tc>
          <w:tcPr>
            <w:tcW w:w="2782" w:type="dxa"/>
            <w:vAlign w:val="center"/>
          </w:tcPr>
          <w:p w:rsidR="00D06FE7" w:rsidRPr="00BA76F4" w:rsidRDefault="00D06FE7" w:rsidP="00E700EB">
            <w:pPr>
              <w:ind w:firstLineChars="0" w:firstLine="0"/>
              <w:jc w:val="both"/>
              <w:rPr>
                <w:rFonts w:eastAsia="新細明體"/>
                <w:sz w:val="20"/>
                <w:szCs w:val="20"/>
              </w:rPr>
            </w:pPr>
            <w:r w:rsidRPr="00BA76F4">
              <w:rPr>
                <w:rFonts w:eastAsia="新細明體"/>
                <w:sz w:val="20"/>
                <w:szCs w:val="20"/>
              </w:rPr>
              <w:t>60</w:t>
            </w:r>
          </w:p>
        </w:tc>
        <w:tc>
          <w:tcPr>
            <w:tcW w:w="1775" w:type="dxa"/>
            <w:vAlign w:val="center"/>
          </w:tcPr>
          <w:p w:rsidR="00D06FE7" w:rsidRPr="00BA76F4" w:rsidRDefault="00D06FE7" w:rsidP="00E700EB">
            <w:pPr>
              <w:ind w:firstLineChars="0" w:firstLine="0"/>
              <w:jc w:val="both"/>
              <w:rPr>
                <w:rFonts w:eastAsia="新細明體"/>
                <w:sz w:val="20"/>
                <w:szCs w:val="20"/>
              </w:rPr>
            </w:pPr>
            <w:r w:rsidRPr="00BA76F4">
              <w:rPr>
                <w:rFonts w:eastAsia="新細明體"/>
                <w:sz w:val="20"/>
                <w:szCs w:val="20"/>
              </w:rPr>
              <w:t>36</w:t>
            </w:r>
          </w:p>
        </w:tc>
      </w:tr>
      <w:tr w:rsidR="00D06FE7" w:rsidRPr="00BA76F4" w:rsidTr="00E700EB">
        <w:trPr>
          <w:trHeight w:val="238"/>
          <w:jc w:val="center"/>
        </w:trPr>
        <w:tc>
          <w:tcPr>
            <w:tcW w:w="2579" w:type="dxa"/>
            <w:gridSpan w:val="2"/>
            <w:vAlign w:val="center"/>
          </w:tcPr>
          <w:p w:rsidR="00D06FE7" w:rsidRPr="00BA76F4" w:rsidRDefault="00D06FE7" w:rsidP="00E700EB">
            <w:pPr>
              <w:ind w:firstLineChars="0" w:firstLine="0"/>
              <w:jc w:val="both"/>
              <w:rPr>
                <w:rFonts w:eastAsia="新細明體"/>
                <w:sz w:val="20"/>
                <w:szCs w:val="20"/>
              </w:rPr>
            </w:pPr>
            <w:r w:rsidRPr="00BA76F4">
              <w:rPr>
                <w:rFonts w:eastAsia="新細明體" w:hint="eastAsia"/>
                <w:sz w:val="20"/>
                <w:szCs w:val="20"/>
              </w:rPr>
              <w:t>充電電流</w:t>
            </w:r>
          </w:p>
        </w:tc>
        <w:tc>
          <w:tcPr>
            <w:tcW w:w="2782" w:type="dxa"/>
            <w:vAlign w:val="center"/>
          </w:tcPr>
          <w:p w:rsidR="00D06FE7" w:rsidRPr="00BA76F4" w:rsidRDefault="00D06FE7" w:rsidP="00E700EB">
            <w:pPr>
              <w:ind w:firstLineChars="0" w:firstLine="0"/>
              <w:jc w:val="both"/>
              <w:rPr>
                <w:rFonts w:eastAsia="新細明體"/>
                <w:sz w:val="20"/>
                <w:szCs w:val="20"/>
              </w:rPr>
            </w:pP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6A</w:t>
              </w:r>
            </w:smartTag>
          </w:p>
        </w:tc>
        <w:tc>
          <w:tcPr>
            <w:tcW w:w="1775" w:type="dxa"/>
            <w:vAlign w:val="center"/>
          </w:tcPr>
          <w:p w:rsidR="00D06FE7" w:rsidRPr="00BA76F4" w:rsidRDefault="00D06FE7" w:rsidP="00E700EB">
            <w:pPr>
              <w:ind w:firstLineChars="0" w:firstLine="0"/>
              <w:jc w:val="both"/>
              <w:rPr>
                <w:rFonts w:eastAsia="新細明體"/>
                <w:sz w:val="20"/>
                <w:szCs w:val="20"/>
              </w:rPr>
            </w:pP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15A</w:t>
              </w:r>
            </w:smartTag>
          </w:p>
        </w:tc>
      </w:tr>
      <w:tr w:rsidR="00D06FE7" w:rsidRPr="00BA76F4" w:rsidTr="00E700EB">
        <w:trPr>
          <w:trHeight w:val="238"/>
          <w:jc w:val="center"/>
        </w:trPr>
        <w:tc>
          <w:tcPr>
            <w:tcW w:w="2579" w:type="dxa"/>
            <w:gridSpan w:val="2"/>
            <w:vAlign w:val="center"/>
          </w:tcPr>
          <w:p w:rsidR="00D06FE7" w:rsidRPr="00BA76F4" w:rsidRDefault="00D06FE7" w:rsidP="00E700EB">
            <w:pPr>
              <w:ind w:firstLineChars="0" w:firstLine="0"/>
              <w:jc w:val="both"/>
              <w:rPr>
                <w:rFonts w:eastAsia="新細明體"/>
                <w:sz w:val="20"/>
                <w:szCs w:val="20"/>
              </w:rPr>
            </w:pPr>
            <w:r w:rsidRPr="00BA76F4">
              <w:rPr>
                <w:rFonts w:eastAsia="新細明體" w:hint="eastAsia"/>
                <w:sz w:val="20"/>
                <w:szCs w:val="20"/>
              </w:rPr>
              <w:t>放電電流</w:t>
            </w:r>
          </w:p>
        </w:tc>
        <w:tc>
          <w:tcPr>
            <w:tcW w:w="2782" w:type="dxa"/>
            <w:vAlign w:val="center"/>
          </w:tcPr>
          <w:p w:rsidR="00D06FE7" w:rsidRPr="00BA76F4" w:rsidRDefault="00D06FE7" w:rsidP="00E700EB">
            <w:pPr>
              <w:ind w:firstLineChars="0" w:firstLine="0"/>
              <w:jc w:val="both"/>
              <w:rPr>
                <w:rFonts w:eastAsia="新細明體"/>
                <w:sz w:val="20"/>
                <w:szCs w:val="20"/>
              </w:rPr>
            </w:pP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5C</w:t>
              </w:r>
            </w:smartTag>
          </w:p>
        </w:tc>
        <w:tc>
          <w:tcPr>
            <w:tcW w:w="1775" w:type="dxa"/>
            <w:vAlign w:val="center"/>
          </w:tcPr>
          <w:p w:rsidR="00D06FE7" w:rsidRPr="00BA76F4" w:rsidRDefault="00D06FE7" w:rsidP="00E700EB">
            <w:pPr>
              <w:ind w:firstLineChars="0" w:firstLine="0"/>
              <w:jc w:val="both"/>
              <w:rPr>
                <w:rFonts w:eastAsia="新細明體"/>
                <w:sz w:val="20"/>
                <w:szCs w:val="20"/>
              </w:rPr>
            </w:pP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30C</w:t>
              </w:r>
            </w:smartTag>
          </w:p>
        </w:tc>
      </w:tr>
      <w:tr w:rsidR="00D06FE7" w:rsidRPr="00BA76F4" w:rsidTr="00E700EB">
        <w:trPr>
          <w:trHeight w:val="244"/>
          <w:jc w:val="center"/>
        </w:trPr>
        <w:tc>
          <w:tcPr>
            <w:tcW w:w="2579" w:type="dxa"/>
            <w:gridSpan w:val="2"/>
            <w:vAlign w:val="center"/>
          </w:tcPr>
          <w:p w:rsidR="00D06FE7" w:rsidRPr="00BA76F4" w:rsidRDefault="00D06FE7" w:rsidP="00E700EB">
            <w:pPr>
              <w:ind w:firstLineChars="0" w:firstLine="0"/>
              <w:jc w:val="both"/>
              <w:rPr>
                <w:rFonts w:eastAsia="新細明體"/>
                <w:sz w:val="20"/>
                <w:szCs w:val="20"/>
              </w:rPr>
            </w:pPr>
            <w:r w:rsidRPr="00BA76F4">
              <w:rPr>
                <w:rFonts w:eastAsia="新細明體" w:hint="eastAsia"/>
                <w:sz w:val="20"/>
                <w:szCs w:val="20"/>
              </w:rPr>
              <w:t>重量</w:t>
            </w:r>
          </w:p>
        </w:tc>
        <w:tc>
          <w:tcPr>
            <w:tcW w:w="2782" w:type="dxa"/>
            <w:vAlign w:val="center"/>
          </w:tcPr>
          <w:p w:rsidR="00D06FE7" w:rsidRPr="00BA76F4" w:rsidRDefault="00D06FE7" w:rsidP="00E700EB">
            <w:pPr>
              <w:ind w:firstLineChars="0" w:firstLine="0"/>
              <w:jc w:val="both"/>
              <w:rPr>
                <w:rFonts w:eastAsia="新細明體"/>
                <w:sz w:val="20"/>
                <w:szCs w:val="20"/>
              </w:rPr>
            </w:pP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15.5KG</w:t>
              </w:r>
            </w:smartTag>
          </w:p>
        </w:tc>
        <w:tc>
          <w:tcPr>
            <w:tcW w:w="1775" w:type="dxa"/>
            <w:vAlign w:val="center"/>
          </w:tcPr>
          <w:p w:rsidR="00D06FE7" w:rsidRPr="00BA76F4" w:rsidRDefault="00D06FE7" w:rsidP="00E700EB">
            <w:pPr>
              <w:ind w:firstLineChars="0" w:firstLine="0"/>
              <w:jc w:val="both"/>
              <w:rPr>
                <w:rFonts w:eastAsia="新細明體"/>
                <w:sz w:val="20"/>
                <w:szCs w:val="20"/>
              </w:rPr>
            </w:pP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6.5KG</w:t>
              </w:r>
            </w:smartTag>
          </w:p>
        </w:tc>
      </w:tr>
    </w:tbl>
    <w:p w:rsidR="00D06FE7" w:rsidRPr="00D8027B" w:rsidRDefault="00D06FE7" w:rsidP="00D06FE7">
      <w:pPr>
        <w:spacing w:line="240" w:lineRule="auto"/>
        <w:ind w:firstLineChars="0" w:firstLine="0"/>
        <w:jc w:val="both"/>
        <w:rPr>
          <w:rFonts w:eastAsia="新細明體"/>
          <w:sz w:val="20"/>
          <w:szCs w:val="20"/>
        </w:rPr>
      </w:pPr>
      <w:r w:rsidRPr="00D8027B">
        <w:rPr>
          <w:rFonts w:eastAsia="新細明體"/>
          <w:sz w:val="20"/>
          <w:szCs w:val="20"/>
        </w:rPr>
        <w:t>(3)</w:t>
      </w:r>
      <w:r>
        <w:rPr>
          <w:rFonts w:eastAsia="新細明體"/>
          <w:sz w:val="20"/>
          <w:szCs w:val="20"/>
        </w:rPr>
        <w:t>BOSCH -FSA450</w:t>
      </w:r>
    </w:p>
    <w:p w:rsidR="00D06FE7" w:rsidRPr="00BA76F4" w:rsidRDefault="00D06FE7" w:rsidP="00D06FE7">
      <w:pPr>
        <w:spacing w:line="240" w:lineRule="auto"/>
        <w:ind w:firstLine="400"/>
        <w:jc w:val="both"/>
        <w:rPr>
          <w:rFonts w:eastAsia="新細明體"/>
          <w:sz w:val="20"/>
          <w:szCs w:val="20"/>
        </w:rPr>
      </w:pPr>
      <w:r w:rsidRPr="00BA76F4">
        <w:rPr>
          <w:rFonts w:eastAsia="新細明體"/>
          <w:sz w:val="20"/>
          <w:szCs w:val="20"/>
        </w:rPr>
        <w:t>BOSCH</w:t>
      </w:r>
      <w:r w:rsidRPr="00BA76F4">
        <w:rPr>
          <w:rFonts w:eastAsia="新細明體" w:hint="eastAsia"/>
          <w:sz w:val="20"/>
          <w:szCs w:val="20"/>
        </w:rPr>
        <w:t>專業型示波器如圖</w:t>
      </w:r>
      <w:r w:rsidRPr="00BA76F4">
        <w:rPr>
          <w:rFonts w:eastAsia="新細明體"/>
          <w:sz w:val="20"/>
          <w:szCs w:val="20"/>
        </w:rPr>
        <w:t>8</w:t>
      </w:r>
      <w:r w:rsidRPr="00BA76F4">
        <w:rPr>
          <w:rFonts w:eastAsia="新細明體" w:hint="eastAsia"/>
          <w:sz w:val="20"/>
          <w:szCs w:val="20"/>
        </w:rPr>
        <w:t>，是一款具高速資料獲取能力的產品，它提供汽車專業人員可快速測量的掌上型的檢測儀器，可分析汽車中複雜的機電系統</w:t>
      </w:r>
    </w:p>
    <w:p w:rsidR="00D06FE7" w:rsidRDefault="00D06FE7" w:rsidP="00D06FE7">
      <w:pPr>
        <w:spacing w:line="240" w:lineRule="auto"/>
        <w:ind w:firstLineChars="0" w:firstLine="0"/>
        <w:jc w:val="center"/>
        <w:rPr>
          <w:rFonts w:eastAsia="新細明體" w:hint="eastAsia"/>
          <w:noProof/>
          <w:sz w:val="20"/>
          <w:szCs w:val="20"/>
        </w:rPr>
      </w:pPr>
      <w:r>
        <w:rPr>
          <w:rFonts w:eastAsia="新細明體"/>
          <w:noProof/>
          <w:sz w:val="20"/>
          <w:szCs w:val="20"/>
        </w:rPr>
        <w:lastRenderedPageBreak/>
        <w:pict>
          <v:shape id="圖片 8" o:spid="_x0000_i1037" type="#_x0000_t75" style="width:231.75pt;height:222pt;visibility:visible">
            <v:imagedata r:id="rId28" o:title=""/>
          </v:shape>
        </w:pict>
      </w:r>
    </w:p>
    <w:p w:rsidR="00D06FE7" w:rsidRDefault="00D06FE7" w:rsidP="00D06FE7">
      <w:pPr>
        <w:spacing w:line="240" w:lineRule="auto"/>
        <w:ind w:firstLineChars="0" w:firstLine="0"/>
        <w:jc w:val="center"/>
        <w:rPr>
          <w:rFonts w:eastAsia="新細明體" w:hint="eastAsia"/>
          <w:sz w:val="20"/>
          <w:szCs w:val="20"/>
        </w:rPr>
      </w:pPr>
      <w:bookmarkStart w:id="3" w:name="_Toc394053117"/>
      <w:r w:rsidRPr="00BA76F4">
        <w:rPr>
          <w:rFonts w:eastAsia="新細明體" w:hint="eastAsia"/>
          <w:sz w:val="20"/>
          <w:szCs w:val="20"/>
        </w:rPr>
        <w:t>圖</w:t>
      </w:r>
      <w:r w:rsidRPr="00BA76F4">
        <w:rPr>
          <w:rFonts w:eastAsia="新細明體"/>
          <w:sz w:val="20"/>
          <w:szCs w:val="20"/>
        </w:rPr>
        <w:t>8 BOSCH</w:t>
      </w:r>
      <w:r w:rsidRPr="00BA76F4">
        <w:rPr>
          <w:rFonts w:eastAsia="新細明體" w:hint="eastAsia"/>
          <w:sz w:val="20"/>
          <w:szCs w:val="20"/>
        </w:rPr>
        <w:t>專業型示波器</w:t>
      </w:r>
      <w:bookmarkEnd w:id="3"/>
    </w:p>
    <w:p w:rsidR="00D06FE7" w:rsidRPr="00BA76F4" w:rsidRDefault="00D06FE7" w:rsidP="00D06FE7">
      <w:pPr>
        <w:spacing w:line="240" w:lineRule="auto"/>
        <w:ind w:firstLineChars="0" w:firstLine="0"/>
        <w:jc w:val="both"/>
        <w:rPr>
          <w:rFonts w:eastAsia="新細明體"/>
          <w:sz w:val="20"/>
          <w:szCs w:val="20"/>
        </w:rPr>
      </w:pPr>
      <w:r>
        <w:rPr>
          <w:rFonts w:eastAsia="新細明體"/>
          <w:sz w:val="20"/>
          <w:szCs w:val="20"/>
        </w:rPr>
        <w:t>(4)</w:t>
      </w:r>
      <w:r w:rsidRPr="00BA76F4">
        <w:rPr>
          <w:rFonts w:eastAsia="新細明體" w:hint="eastAsia"/>
          <w:sz w:val="20"/>
          <w:szCs w:val="20"/>
        </w:rPr>
        <w:t>數位式三用電錶、</w:t>
      </w:r>
      <w:proofErr w:type="gramStart"/>
      <w:r w:rsidRPr="00BA76F4">
        <w:rPr>
          <w:rFonts w:eastAsia="新細明體" w:hint="eastAsia"/>
          <w:sz w:val="20"/>
          <w:szCs w:val="20"/>
        </w:rPr>
        <w:t>電流勾表</w:t>
      </w:r>
      <w:proofErr w:type="gramEnd"/>
      <w:r w:rsidRPr="00BA76F4">
        <w:rPr>
          <w:rFonts w:eastAsia="新細明體"/>
          <w:sz w:val="20"/>
          <w:szCs w:val="20"/>
        </w:rPr>
        <w:t xml:space="preserve"> </w:t>
      </w:r>
      <w:r w:rsidRPr="00BA76F4">
        <w:rPr>
          <w:rFonts w:eastAsia="新細明體" w:hint="eastAsia"/>
          <w:sz w:val="20"/>
          <w:szCs w:val="20"/>
        </w:rPr>
        <w:t>。圖</w:t>
      </w:r>
      <w:r w:rsidRPr="00BA76F4">
        <w:rPr>
          <w:rFonts w:eastAsia="新細明體"/>
          <w:sz w:val="20"/>
          <w:szCs w:val="20"/>
        </w:rPr>
        <w:t>9</w:t>
      </w:r>
      <w:r w:rsidRPr="00BA76F4">
        <w:rPr>
          <w:rFonts w:eastAsia="新細明體" w:hint="eastAsia"/>
          <w:sz w:val="20"/>
          <w:szCs w:val="20"/>
        </w:rPr>
        <w:t>。</w:t>
      </w:r>
    </w:p>
    <w:p w:rsidR="00D06FE7" w:rsidRPr="00BA76F4" w:rsidRDefault="00D06FE7" w:rsidP="00D06FE7">
      <w:pPr>
        <w:pStyle w:val="aa"/>
        <w:spacing w:line="240" w:lineRule="auto"/>
        <w:ind w:leftChars="0" w:left="0" w:firstLine="400"/>
        <w:jc w:val="both"/>
        <w:rPr>
          <w:rFonts w:eastAsia="新細明體"/>
          <w:sz w:val="20"/>
        </w:rPr>
      </w:pPr>
      <w:r w:rsidRPr="00BA76F4">
        <w:rPr>
          <w:rFonts w:eastAsia="新細明體" w:hint="eastAsia"/>
          <w:sz w:val="20"/>
        </w:rPr>
        <w:t>量測範圍</w:t>
      </w:r>
      <w:r w:rsidRPr="00BA76F4">
        <w:rPr>
          <w:rFonts w:eastAsia="新細明體"/>
          <w:sz w:val="20"/>
        </w:rPr>
        <w:t>:</w:t>
      </w:r>
    </w:p>
    <w:p w:rsidR="00D06FE7" w:rsidRPr="00BA76F4" w:rsidRDefault="00D06FE7" w:rsidP="00D06FE7">
      <w:pPr>
        <w:spacing w:line="240" w:lineRule="auto"/>
        <w:ind w:firstLine="400"/>
        <w:jc w:val="both"/>
        <w:rPr>
          <w:rFonts w:eastAsia="新細明體"/>
          <w:sz w:val="20"/>
          <w:szCs w:val="20"/>
        </w:rPr>
      </w:pPr>
      <w:r w:rsidRPr="00BA76F4">
        <w:rPr>
          <w:rFonts w:eastAsia="新細明體" w:hint="eastAsia"/>
          <w:sz w:val="20"/>
          <w:szCs w:val="20"/>
        </w:rPr>
        <w:t>數位電表</w:t>
      </w:r>
      <w:r w:rsidRPr="00BA76F4">
        <w:rPr>
          <w:rFonts w:eastAsia="新細明體"/>
          <w:sz w:val="20"/>
          <w:szCs w:val="20"/>
        </w:rPr>
        <w:t xml:space="preserve">DCV </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400m</w:t>
        </w:r>
      </w:smartTag>
      <w:r w:rsidRPr="00BA76F4">
        <w:rPr>
          <w:rFonts w:eastAsia="新細明體"/>
          <w:sz w:val="20"/>
          <w:szCs w:val="20"/>
        </w:rPr>
        <w:t>V</w:t>
      </w:r>
      <w:r w:rsidRPr="00BA76F4">
        <w:rPr>
          <w:rFonts w:eastAsia="新細明體" w:hint="eastAsia"/>
          <w:sz w:val="20"/>
          <w:szCs w:val="20"/>
        </w:rPr>
        <w:t>～</w:t>
      </w:r>
      <w:r w:rsidRPr="00BA76F4">
        <w:rPr>
          <w:rFonts w:eastAsia="新細明體"/>
          <w:sz w:val="20"/>
          <w:szCs w:val="20"/>
        </w:rPr>
        <w:t>300V</w:t>
      </w:r>
      <w:r w:rsidRPr="00BA76F4">
        <w:rPr>
          <w:rFonts w:eastAsia="新細明體" w:hint="eastAsia"/>
          <w:sz w:val="20"/>
          <w:szCs w:val="20"/>
        </w:rPr>
        <w:t>、</w:t>
      </w:r>
      <w:r w:rsidRPr="00BA76F4">
        <w:rPr>
          <w:rFonts w:eastAsia="新細明體"/>
          <w:sz w:val="20"/>
          <w:szCs w:val="20"/>
        </w:rPr>
        <w:t>ACV 4V</w:t>
      </w:r>
      <w:r w:rsidRPr="00BA76F4">
        <w:rPr>
          <w:rFonts w:eastAsia="新細明體" w:hint="eastAsia"/>
          <w:sz w:val="20"/>
          <w:szCs w:val="20"/>
        </w:rPr>
        <w:t>～</w:t>
      </w:r>
      <w:r w:rsidRPr="00BA76F4">
        <w:rPr>
          <w:rFonts w:eastAsia="新細明體"/>
          <w:sz w:val="20"/>
          <w:szCs w:val="20"/>
        </w:rPr>
        <w:t>300V</w:t>
      </w:r>
      <w:r w:rsidRPr="00BA76F4">
        <w:rPr>
          <w:rFonts w:eastAsia="新細明體" w:hint="eastAsia"/>
          <w:sz w:val="20"/>
          <w:szCs w:val="20"/>
        </w:rPr>
        <w:t>、</w:t>
      </w:r>
      <w:r w:rsidRPr="00BA76F4">
        <w:rPr>
          <w:rFonts w:eastAsia="新細明體"/>
          <w:sz w:val="20"/>
          <w:szCs w:val="20"/>
        </w:rPr>
        <w:t>DCA 200uA</w:t>
      </w:r>
      <w:r w:rsidRPr="00BA76F4">
        <w:rPr>
          <w:rFonts w:eastAsia="新細明體" w:hint="eastAsia"/>
          <w:sz w:val="20"/>
          <w:szCs w:val="20"/>
        </w:rPr>
        <w:t>～</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10A</w:t>
        </w:r>
      </w:smartTag>
      <w:r w:rsidRPr="00BA76F4">
        <w:rPr>
          <w:rFonts w:eastAsia="新細明體" w:hint="eastAsia"/>
          <w:sz w:val="20"/>
          <w:szCs w:val="20"/>
        </w:rPr>
        <w:t>、電阻</w:t>
      </w:r>
      <w:r w:rsidRPr="00BA76F4">
        <w:rPr>
          <w:rFonts w:eastAsia="新細明體"/>
          <w:sz w:val="20"/>
          <w:szCs w:val="20"/>
        </w:rPr>
        <w:t xml:space="preserve"> 0</w:t>
      </w:r>
      <w:r w:rsidRPr="00BA76F4">
        <w:rPr>
          <w:rFonts w:eastAsia="新細明體" w:hint="eastAsia"/>
          <w:sz w:val="20"/>
          <w:szCs w:val="20"/>
        </w:rPr>
        <w:t>～</w:t>
      </w:r>
      <w:r w:rsidRPr="00BA76F4">
        <w:rPr>
          <w:rFonts w:eastAsia="新細明體"/>
          <w:sz w:val="20"/>
          <w:szCs w:val="20"/>
        </w:rPr>
        <w:t>2000kΩ</w:t>
      </w:r>
      <w:r w:rsidRPr="00BA76F4">
        <w:rPr>
          <w:rFonts w:eastAsia="新細明體" w:hint="eastAsia"/>
          <w:sz w:val="20"/>
          <w:szCs w:val="20"/>
        </w:rPr>
        <w:t>、二極體</w:t>
      </w:r>
      <w:r w:rsidRPr="00BA76F4">
        <w:rPr>
          <w:rFonts w:eastAsia="新細明體"/>
          <w:sz w:val="20"/>
          <w:szCs w:val="20"/>
        </w:rPr>
        <w:t xml:space="preserve"> PNP</w:t>
      </w:r>
      <w:r w:rsidRPr="00BA76F4">
        <w:rPr>
          <w:rFonts w:eastAsia="新細明體" w:hint="eastAsia"/>
          <w:sz w:val="20"/>
          <w:szCs w:val="20"/>
        </w:rPr>
        <w:t>＆</w:t>
      </w:r>
      <w:r w:rsidRPr="00BA76F4">
        <w:rPr>
          <w:rFonts w:eastAsia="新細明體"/>
          <w:sz w:val="20"/>
          <w:szCs w:val="20"/>
        </w:rPr>
        <w:t>NPN</w:t>
      </w:r>
      <w:r w:rsidRPr="00BA76F4">
        <w:rPr>
          <w:rFonts w:eastAsia="新細明體" w:hint="eastAsia"/>
          <w:sz w:val="20"/>
          <w:szCs w:val="20"/>
        </w:rPr>
        <w:t>，電流勾表</w:t>
      </w:r>
      <w:r w:rsidRPr="00BA76F4">
        <w:rPr>
          <w:rFonts w:eastAsia="新細明體"/>
          <w:sz w:val="20"/>
          <w:szCs w:val="20"/>
        </w:rPr>
        <w:t>DCA 0~</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1000A</w:t>
        </w:r>
      </w:smartTag>
    </w:p>
    <w:p w:rsidR="00D06FE7" w:rsidRDefault="00D06FE7" w:rsidP="00D06FE7">
      <w:pPr>
        <w:spacing w:line="240" w:lineRule="auto"/>
        <w:ind w:firstLineChars="0" w:firstLine="0"/>
        <w:jc w:val="center"/>
        <w:rPr>
          <w:rFonts w:eastAsia="新細明體"/>
          <w:sz w:val="20"/>
          <w:szCs w:val="20"/>
        </w:rPr>
      </w:pPr>
      <w:r>
        <w:rPr>
          <w:rFonts w:eastAsia="新細明體"/>
          <w:noProof/>
          <w:sz w:val="20"/>
          <w:szCs w:val="20"/>
        </w:rPr>
        <w:pict>
          <v:shape id="圖片 10" o:spid="_x0000_i1038" type="#_x0000_t75" style="width:250.5pt;height:246.75pt;visibility:visible">
            <v:imagedata r:id="rId29" o:title=""/>
          </v:shape>
        </w:pict>
      </w:r>
    </w:p>
    <w:p w:rsidR="00D06FE7" w:rsidRPr="00BA76F4" w:rsidRDefault="00D06FE7" w:rsidP="00D06FE7">
      <w:pPr>
        <w:pStyle w:val="ac"/>
        <w:spacing w:line="240" w:lineRule="auto"/>
        <w:ind w:firstLine="403"/>
        <w:rPr>
          <w:rFonts w:eastAsia="新細明體"/>
          <w:sz w:val="20"/>
          <w:szCs w:val="20"/>
        </w:rPr>
      </w:pPr>
      <w:bookmarkStart w:id="4" w:name="_Toc394053118"/>
      <w:r w:rsidRPr="00BA76F4">
        <w:rPr>
          <w:rFonts w:eastAsia="新細明體" w:hint="eastAsia"/>
          <w:sz w:val="20"/>
          <w:szCs w:val="20"/>
        </w:rPr>
        <w:t>圖</w:t>
      </w:r>
      <w:r w:rsidRPr="00BA76F4">
        <w:rPr>
          <w:rFonts w:eastAsia="新細明體"/>
          <w:sz w:val="20"/>
          <w:szCs w:val="20"/>
        </w:rPr>
        <w:t xml:space="preserve">9 FLUKE </w:t>
      </w:r>
      <w:r w:rsidRPr="00BA76F4">
        <w:rPr>
          <w:rFonts w:eastAsia="新細明體" w:hint="eastAsia"/>
          <w:sz w:val="20"/>
          <w:szCs w:val="20"/>
        </w:rPr>
        <w:t>數位電表、電流勾表</w:t>
      </w:r>
      <w:bookmarkEnd w:id="4"/>
    </w:p>
    <w:p w:rsidR="00D06FE7" w:rsidRPr="00D8027B" w:rsidRDefault="00D06FE7" w:rsidP="00D06FE7">
      <w:pPr>
        <w:spacing w:line="240" w:lineRule="auto"/>
        <w:ind w:firstLineChars="0" w:firstLine="0"/>
        <w:rPr>
          <w:rFonts w:eastAsia="新細明體"/>
          <w:sz w:val="20"/>
          <w:szCs w:val="20"/>
        </w:rPr>
      </w:pPr>
      <w:r>
        <w:rPr>
          <w:rFonts w:eastAsia="新細明體"/>
          <w:sz w:val="20"/>
          <w:szCs w:val="20"/>
        </w:rPr>
        <w:t>(5)</w:t>
      </w:r>
      <w:r w:rsidRPr="00D8027B">
        <w:rPr>
          <w:rFonts w:eastAsia="新細明體" w:hint="eastAsia"/>
          <w:sz w:val="20"/>
          <w:szCs w:val="20"/>
        </w:rPr>
        <w:t>電壓起動分析儀，圖</w:t>
      </w:r>
      <w:r w:rsidRPr="00D8027B">
        <w:rPr>
          <w:rFonts w:eastAsia="新細明體"/>
          <w:sz w:val="20"/>
          <w:szCs w:val="20"/>
        </w:rPr>
        <w:t>10</w:t>
      </w:r>
    </w:p>
    <w:p w:rsidR="00D06FE7" w:rsidRDefault="00D06FE7" w:rsidP="00D06FE7">
      <w:pPr>
        <w:spacing w:line="240" w:lineRule="auto"/>
        <w:ind w:firstLine="400"/>
        <w:rPr>
          <w:rFonts w:eastAsia="新細明體"/>
          <w:sz w:val="20"/>
          <w:szCs w:val="20"/>
        </w:rPr>
      </w:pPr>
      <w:r w:rsidRPr="00D8027B">
        <w:rPr>
          <w:rFonts w:eastAsia="新細明體" w:hint="eastAsia"/>
          <w:sz w:val="20"/>
          <w:szCs w:val="20"/>
        </w:rPr>
        <w:t>可快速的測量汽車電瓶起動瞬間的電壓變化波形，並顯示出電瓶電壓、起動時最低電壓、起動時間、發電機充電電壓</w:t>
      </w:r>
    </w:p>
    <w:p w:rsidR="00D06FE7" w:rsidRDefault="00D06FE7" w:rsidP="00D06FE7">
      <w:pPr>
        <w:spacing w:line="240" w:lineRule="auto"/>
        <w:ind w:firstLineChars="0" w:firstLine="0"/>
        <w:jc w:val="center"/>
        <w:rPr>
          <w:rFonts w:eastAsia="新細明體"/>
          <w:sz w:val="20"/>
          <w:szCs w:val="20"/>
        </w:rPr>
      </w:pPr>
      <w:r>
        <w:rPr>
          <w:rFonts w:eastAsia="新細明體"/>
          <w:noProof/>
          <w:sz w:val="20"/>
          <w:szCs w:val="20"/>
        </w:rPr>
        <w:lastRenderedPageBreak/>
        <w:pict>
          <v:shape id="圖片 11" o:spid="_x0000_i1039" type="#_x0000_t75" style="width:258.75pt;height:145.5pt;visibility:visible">
            <v:imagedata r:id="rId30" o:title=""/>
          </v:shape>
        </w:pict>
      </w:r>
    </w:p>
    <w:p w:rsidR="00D06FE7" w:rsidRDefault="00D06FE7" w:rsidP="00D06FE7">
      <w:pPr>
        <w:spacing w:line="240" w:lineRule="auto"/>
        <w:ind w:firstLineChars="0" w:firstLine="0"/>
        <w:jc w:val="center"/>
        <w:rPr>
          <w:rFonts w:eastAsia="新細明體"/>
          <w:sz w:val="20"/>
          <w:szCs w:val="20"/>
        </w:rPr>
      </w:pPr>
      <w:r>
        <w:rPr>
          <w:rFonts w:eastAsia="新細明體" w:hint="eastAsia"/>
          <w:sz w:val="20"/>
          <w:szCs w:val="20"/>
        </w:rPr>
        <w:t>圖</w:t>
      </w:r>
      <w:r>
        <w:rPr>
          <w:rFonts w:eastAsia="新細明體"/>
          <w:sz w:val="20"/>
          <w:szCs w:val="20"/>
        </w:rPr>
        <w:t xml:space="preserve">10 </w:t>
      </w:r>
      <w:r>
        <w:rPr>
          <w:rFonts w:eastAsia="新細明體" w:hint="eastAsia"/>
          <w:sz w:val="20"/>
          <w:szCs w:val="20"/>
        </w:rPr>
        <w:t>電壓起動分析儀</w:t>
      </w:r>
    </w:p>
    <w:p w:rsidR="00D06FE7" w:rsidRPr="00BA76F4" w:rsidRDefault="00D06FE7" w:rsidP="00D06FE7">
      <w:pPr>
        <w:spacing w:line="240" w:lineRule="auto"/>
        <w:ind w:firstLineChars="0" w:firstLine="0"/>
        <w:jc w:val="center"/>
        <w:rPr>
          <w:rFonts w:eastAsia="新細明體"/>
          <w:b/>
          <w:sz w:val="20"/>
          <w:szCs w:val="20"/>
        </w:rPr>
      </w:pPr>
      <w:r w:rsidRPr="00BA76F4">
        <w:rPr>
          <w:rFonts w:eastAsia="新細明體" w:hint="eastAsia"/>
          <w:b/>
          <w:sz w:val="20"/>
          <w:szCs w:val="20"/>
        </w:rPr>
        <w:t>結論</w:t>
      </w:r>
    </w:p>
    <w:p w:rsidR="00D06FE7" w:rsidRPr="00BA76F4" w:rsidRDefault="00D06FE7" w:rsidP="00D06FE7">
      <w:pPr>
        <w:spacing w:line="240" w:lineRule="auto"/>
        <w:ind w:firstLineChars="0" w:firstLine="0"/>
        <w:jc w:val="both"/>
        <w:rPr>
          <w:rFonts w:eastAsia="新細明體"/>
          <w:b/>
          <w:sz w:val="20"/>
          <w:szCs w:val="20"/>
        </w:rPr>
      </w:pPr>
      <w:bookmarkStart w:id="5" w:name="_Toc394183348"/>
      <w:r w:rsidRPr="00BA76F4">
        <w:rPr>
          <w:rFonts w:eastAsia="新細明體" w:hint="eastAsia"/>
          <w:b/>
          <w:sz w:val="20"/>
          <w:szCs w:val="20"/>
        </w:rPr>
        <w:t>電瓶安培小時效率分析</w:t>
      </w:r>
      <w:bookmarkEnd w:id="5"/>
    </w:p>
    <w:p w:rsidR="00D06FE7" w:rsidRPr="00BA76F4" w:rsidRDefault="00D06FE7" w:rsidP="00D06FE7">
      <w:pPr>
        <w:pStyle w:val="aa"/>
        <w:numPr>
          <w:ilvl w:val="0"/>
          <w:numId w:val="5"/>
        </w:numPr>
        <w:spacing w:line="240" w:lineRule="auto"/>
        <w:ind w:leftChars="0" w:firstLineChars="0"/>
        <w:jc w:val="both"/>
        <w:rPr>
          <w:rFonts w:eastAsia="新細明體"/>
          <w:sz w:val="20"/>
        </w:rPr>
      </w:pPr>
      <w:r w:rsidRPr="00BA76F4">
        <w:rPr>
          <w:rFonts w:eastAsia="新細明體" w:hint="eastAsia"/>
          <w:sz w:val="20"/>
        </w:rPr>
        <w:t>測試模式</w:t>
      </w:r>
      <w:r w:rsidRPr="00BA76F4">
        <w:rPr>
          <w:rFonts w:eastAsia="新細明體"/>
          <w:sz w:val="20"/>
        </w:rPr>
        <w:t xml:space="preserve">1-- </w:t>
      </w:r>
      <w:r w:rsidRPr="00BA76F4">
        <w:rPr>
          <w:rFonts w:eastAsia="新細明體" w:hint="eastAsia"/>
          <w:sz w:val="20"/>
        </w:rPr>
        <w:t>起動模式</w:t>
      </w:r>
    </w:p>
    <w:p w:rsidR="00D06FE7" w:rsidRPr="00BA76F4" w:rsidRDefault="00D06FE7" w:rsidP="00D06FE7">
      <w:pPr>
        <w:spacing w:line="240" w:lineRule="auto"/>
        <w:ind w:leftChars="101" w:left="283" w:firstLine="400"/>
        <w:jc w:val="both"/>
        <w:rPr>
          <w:rFonts w:eastAsia="新細明體"/>
          <w:sz w:val="20"/>
          <w:szCs w:val="20"/>
        </w:rPr>
      </w:pPr>
      <w:r w:rsidRPr="00BA76F4">
        <w:rPr>
          <w:rFonts w:eastAsia="新細明體" w:hint="eastAsia"/>
          <w:sz w:val="20"/>
          <w:szCs w:val="20"/>
        </w:rPr>
        <w:t>此測試模式是當引擎轉動前透過切斷點火訊號，操作點火開關讓起動馬達帶動飛輪，使用起動馬達搖轉引擎空轉</w:t>
      </w:r>
      <w:r w:rsidRPr="00BA76F4">
        <w:rPr>
          <w:rFonts w:eastAsia="新細明體"/>
          <w:sz w:val="20"/>
          <w:szCs w:val="20"/>
        </w:rPr>
        <w:t>10</w:t>
      </w:r>
      <w:r w:rsidRPr="00BA76F4">
        <w:rPr>
          <w:rFonts w:eastAsia="新細明體" w:hint="eastAsia"/>
          <w:sz w:val="20"/>
          <w:szCs w:val="20"/>
        </w:rPr>
        <w:t>秒，並以平均放電電流</w:t>
      </w:r>
      <w:r w:rsidRPr="00BA76F4">
        <w:rPr>
          <w:rFonts w:eastAsia="新細明體"/>
          <w:sz w:val="20"/>
          <w:szCs w:val="20"/>
        </w:rPr>
        <w:t>120</w:t>
      </w:r>
      <w:r w:rsidRPr="00BA76F4">
        <w:rPr>
          <w:rFonts w:eastAsia="新細明體" w:hint="eastAsia"/>
          <w:sz w:val="20"/>
          <w:szCs w:val="20"/>
        </w:rPr>
        <w:t>安培之方式，模擬電瓶起動搖轉引擎之短暫耗電方式，耗電完成後再進一步使引擎發動，電瓶除供電給點火系統外，不加諸任何電器負載，並進行</w:t>
      </w:r>
      <w:r w:rsidRPr="00BA76F4">
        <w:rPr>
          <w:rFonts w:eastAsia="新細明體"/>
          <w:sz w:val="20"/>
          <w:szCs w:val="20"/>
        </w:rPr>
        <w:t>30</w:t>
      </w:r>
      <w:r w:rsidRPr="00BA76F4">
        <w:rPr>
          <w:rFonts w:eastAsia="新細明體" w:hint="eastAsia"/>
          <w:sz w:val="20"/>
          <w:szCs w:val="20"/>
        </w:rPr>
        <w:t>分鐘電瓶電流回充試驗，針對時間軸上電流變化、回復原電壓所需時間與最終充電電流值進行記錄，以推算測試電瓶放電後發電機對電瓶回充效率。</w:t>
      </w:r>
    </w:p>
    <w:p w:rsidR="00D06FE7" w:rsidRPr="00BA76F4" w:rsidRDefault="00D06FE7" w:rsidP="00D06FE7">
      <w:pPr>
        <w:spacing w:line="240" w:lineRule="auto"/>
        <w:ind w:leftChars="101" w:left="283" w:firstLineChars="202" w:firstLine="404"/>
        <w:jc w:val="both"/>
        <w:rPr>
          <w:rFonts w:eastAsia="新細明體"/>
          <w:sz w:val="20"/>
          <w:szCs w:val="20"/>
        </w:rPr>
      </w:pPr>
      <w:r w:rsidRPr="00BA76F4">
        <w:rPr>
          <w:rFonts w:eastAsia="新細明體" w:hint="eastAsia"/>
          <w:sz w:val="20"/>
          <w:szCs w:val="20"/>
        </w:rPr>
        <w:t>實驗結果顯示，使用鉛酸電瓶之引擎在起動耗電後，引擎發動初期發電機對電瓶充電電流可達</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45A</w:t>
        </w:r>
      </w:smartTag>
      <w:r w:rsidRPr="00BA76F4">
        <w:rPr>
          <w:rFonts w:eastAsia="新細明體" w:hint="eastAsia"/>
          <w:sz w:val="20"/>
          <w:szCs w:val="20"/>
        </w:rPr>
        <w:t>，</w:t>
      </w:r>
      <w:r w:rsidRPr="00BA76F4">
        <w:rPr>
          <w:rFonts w:eastAsia="新細明體"/>
          <w:sz w:val="20"/>
          <w:szCs w:val="20"/>
        </w:rPr>
        <w:t>60</w:t>
      </w:r>
      <w:r w:rsidRPr="00BA76F4">
        <w:rPr>
          <w:rFonts w:eastAsia="新細明體" w:hint="eastAsia"/>
          <w:sz w:val="20"/>
          <w:szCs w:val="20"/>
        </w:rPr>
        <w:t>秒後發電機對電瓶充電電流降低到</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8.5A</w:t>
        </w:r>
      </w:smartTag>
      <w:r w:rsidRPr="00BA76F4">
        <w:rPr>
          <w:rFonts w:eastAsia="新細明體" w:hint="eastAsia"/>
          <w:sz w:val="20"/>
          <w:szCs w:val="20"/>
        </w:rPr>
        <w:t>，隨時間變化而逐步降低，在</w:t>
      </w:r>
      <w:r w:rsidRPr="00BA76F4">
        <w:rPr>
          <w:rFonts w:eastAsia="新細明體"/>
          <w:sz w:val="20"/>
          <w:szCs w:val="20"/>
        </w:rPr>
        <w:t>300</w:t>
      </w:r>
      <w:r w:rsidRPr="00BA76F4">
        <w:rPr>
          <w:rFonts w:eastAsia="新細明體" w:hint="eastAsia"/>
          <w:sz w:val="20"/>
          <w:szCs w:val="20"/>
        </w:rPr>
        <w:t>秒後發電機充電電流穩定保持在</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1.7A</w:t>
        </w:r>
      </w:smartTag>
      <w:r w:rsidRPr="00BA76F4">
        <w:rPr>
          <w:rFonts w:eastAsia="新細明體" w:hint="eastAsia"/>
          <w:sz w:val="20"/>
          <w:szCs w:val="20"/>
        </w:rPr>
        <w:t>，顯示已將電瓶所損耗掉的電回充到飽和。而使用鋰鐵電瓶之實驗組，在引擎發動初期發電機對電瓶充電電流可達高達</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56A</w:t>
        </w:r>
      </w:smartTag>
      <w:r w:rsidRPr="00BA76F4">
        <w:rPr>
          <w:rFonts w:eastAsia="新細明體" w:hint="eastAsia"/>
          <w:sz w:val="20"/>
          <w:szCs w:val="20"/>
        </w:rPr>
        <w:t>，</w:t>
      </w:r>
      <w:r w:rsidRPr="00BA76F4">
        <w:rPr>
          <w:rFonts w:eastAsia="新細明體"/>
          <w:sz w:val="20"/>
          <w:szCs w:val="20"/>
        </w:rPr>
        <w:t>60</w:t>
      </w:r>
      <w:r w:rsidRPr="00BA76F4">
        <w:rPr>
          <w:rFonts w:eastAsia="新細明體" w:hint="eastAsia"/>
          <w:sz w:val="20"/>
          <w:szCs w:val="20"/>
        </w:rPr>
        <w:t>秒後發電機對電瓶充電電流降低到</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2.45A</w:t>
        </w:r>
      </w:smartTag>
      <w:r w:rsidRPr="00BA76F4">
        <w:rPr>
          <w:rFonts w:eastAsia="新細明體" w:hint="eastAsia"/>
          <w:sz w:val="20"/>
          <w:szCs w:val="20"/>
        </w:rPr>
        <w:t>，隨時間變化而逐步降低，在</w:t>
      </w:r>
      <w:r w:rsidRPr="00BA76F4">
        <w:rPr>
          <w:rFonts w:eastAsia="新細明體"/>
          <w:sz w:val="20"/>
          <w:szCs w:val="20"/>
        </w:rPr>
        <w:t>240</w:t>
      </w:r>
      <w:r w:rsidRPr="00BA76F4">
        <w:rPr>
          <w:rFonts w:eastAsia="新細明體" w:hint="eastAsia"/>
          <w:sz w:val="20"/>
          <w:szCs w:val="20"/>
        </w:rPr>
        <w:t>秒後發電機充電電流穩定保持在</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0.3A</w:t>
        </w:r>
      </w:smartTag>
      <w:r w:rsidRPr="00BA76F4">
        <w:rPr>
          <w:rFonts w:eastAsia="新細明體" w:hint="eastAsia"/>
          <w:sz w:val="20"/>
          <w:szCs w:val="20"/>
        </w:rPr>
        <w:t>，顯示</w:t>
      </w:r>
      <w:r w:rsidRPr="00BA76F4">
        <w:rPr>
          <w:rFonts w:eastAsia="新細明體"/>
          <w:sz w:val="20"/>
          <w:szCs w:val="20"/>
        </w:rPr>
        <w:t>4</w:t>
      </w:r>
      <w:r w:rsidRPr="00BA76F4">
        <w:rPr>
          <w:rFonts w:eastAsia="新細明體" w:hint="eastAsia"/>
          <w:sz w:val="20"/>
          <w:szCs w:val="20"/>
        </w:rPr>
        <w:t>分鐘後即可將電瓶所損耗掉的電回充到飽和，本測試模式屬於短暫高電流放電，因此在無其他電器負載使用下，發電機對兩組電瓶回充的時間變化不明顯，但還是可以看出在</w:t>
      </w:r>
      <w:r w:rsidRPr="00BA76F4">
        <w:rPr>
          <w:rFonts w:eastAsia="新細明體"/>
          <w:sz w:val="20"/>
          <w:szCs w:val="20"/>
        </w:rPr>
        <w:t>60</w:t>
      </w:r>
      <w:r w:rsidRPr="00BA76F4">
        <w:rPr>
          <w:rFonts w:eastAsia="新細明體" w:hint="eastAsia"/>
          <w:sz w:val="20"/>
          <w:szCs w:val="20"/>
        </w:rPr>
        <w:t>秒時，使用鋰鐵電瓶時發電機對電瓶充電已經降到</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2.4A</w:t>
        </w:r>
      </w:smartTag>
      <w:r w:rsidRPr="00BA76F4">
        <w:rPr>
          <w:rFonts w:eastAsia="新細明體" w:hint="eastAsia"/>
          <w:sz w:val="20"/>
          <w:szCs w:val="20"/>
        </w:rPr>
        <w:t>。</w:t>
      </w:r>
    </w:p>
    <w:p w:rsidR="00D06FE7" w:rsidRPr="00BA76F4" w:rsidRDefault="00D06FE7" w:rsidP="00D06FE7">
      <w:pPr>
        <w:spacing w:line="240" w:lineRule="auto"/>
        <w:ind w:leftChars="101" w:left="283" w:firstLineChars="202" w:firstLine="404"/>
        <w:jc w:val="both"/>
        <w:rPr>
          <w:rFonts w:eastAsia="新細明體"/>
          <w:sz w:val="20"/>
          <w:szCs w:val="20"/>
        </w:rPr>
      </w:pPr>
      <w:r w:rsidRPr="00BA76F4">
        <w:rPr>
          <w:rFonts w:eastAsia="新細明體" w:hint="eastAsia"/>
          <w:sz w:val="20"/>
          <w:szCs w:val="20"/>
        </w:rPr>
        <w:t>在短暫高電流放電的起動模式中，鋰鐵電瓶</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56A</w:t>
        </w:r>
      </w:smartTag>
      <w:r w:rsidRPr="00BA76F4">
        <w:rPr>
          <w:rFonts w:eastAsia="新細明體" w:hint="eastAsia"/>
          <w:sz w:val="20"/>
          <w:szCs w:val="20"/>
        </w:rPr>
        <w:t>的初始回充電流遠高於鉛酸電瓶的</w:t>
      </w:r>
      <w:r w:rsidRPr="00BA76F4">
        <w:rPr>
          <w:rFonts w:eastAsia="新細明體"/>
          <w:sz w:val="20"/>
          <w:szCs w:val="20"/>
        </w:rPr>
        <w:t>45</w:t>
      </w:r>
      <w:r w:rsidRPr="00BA76F4">
        <w:rPr>
          <w:rFonts w:eastAsia="新細明體" w:hint="eastAsia"/>
          <w:sz w:val="20"/>
          <w:szCs w:val="20"/>
        </w:rPr>
        <w:t>安培，且在電瓶充電飽和時間電流回充率上，前者時間上縮短</w:t>
      </w:r>
      <w:r w:rsidRPr="00BA76F4">
        <w:rPr>
          <w:rFonts w:eastAsia="新細明體"/>
          <w:sz w:val="20"/>
          <w:szCs w:val="20"/>
        </w:rPr>
        <w:t>20%</w:t>
      </w:r>
      <w:r w:rsidRPr="00BA76F4">
        <w:rPr>
          <w:rFonts w:eastAsia="新細明體" w:hint="eastAsia"/>
          <w:sz w:val="20"/>
          <w:szCs w:val="20"/>
        </w:rPr>
        <w:t>，最終充電電流值更低相差</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1.4 A</w:t>
        </w:r>
      </w:smartTag>
      <w:r w:rsidRPr="00BA76F4">
        <w:rPr>
          <w:rFonts w:eastAsia="新細明體" w:hint="eastAsia"/>
          <w:sz w:val="20"/>
          <w:szCs w:val="20"/>
        </w:rPr>
        <w:t>，顯見鋰鐵電瓶可更有效率的完成回充動作。至於電壓與電流飽和後，鋰鐵電瓶最終充電電流可穩定保持在原初始充電電流的</w:t>
      </w:r>
      <w:r w:rsidRPr="00BA76F4">
        <w:rPr>
          <w:rFonts w:eastAsia="新細明體"/>
          <w:sz w:val="20"/>
          <w:szCs w:val="20"/>
        </w:rPr>
        <w:t>0.53%</w:t>
      </w:r>
      <w:r w:rsidRPr="00BA76F4">
        <w:rPr>
          <w:rFonts w:eastAsia="新細明體" w:hint="eastAsia"/>
          <w:sz w:val="20"/>
          <w:szCs w:val="20"/>
        </w:rPr>
        <w:t>，鉛酸電瓶最終充電電流則穩定保持在原初始充電電流的</w:t>
      </w:r>
      <w:r w:rsidRPr="00BA76F4">
        <w:rPr>
          <w:rFonts w:eastAsia="新細明體"/>
          <w:sz w:val="20"/>
          <w:szCs w:val="20"/>
        </w:rPr>
        <w:t>3.8%</w:t>
      </w:r>
      <w:r w:rsidRPr="00BA76F4">
        <w:rPr>
          <w:rFonts w:eastAsia="新細明體" w:hint="eastAsia"/>
          <w:sz w:val="20"/>
          <w:szCs w:val="20"/>
        </w:rPr>
        <w:t>。但兩者初始回充電流鋰鐵電瓶比鉛酸電瓶高</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11A</w:t>
        </w:r>
      </w:smartTag>
      <w:r w:rsidRPr="00BA76F4">
        <w:rPr>
          <w:rFonts w:eastAsia="新細明體" w:hint="eastAsia"/>
          <w:sz w:val="20"/>
          <w:szCs w:val="20"/>
        </w:rPr>
        <w:t>，因此在發動後初期所需的初始充電負荷，會對發電機形成較大的負載。</w:t>
      </w:r>
    </w:p>
    <w:p w:rsidR="00D06FE7" w:rsidRPr="009D0C46" w:rsidRDefault="00D06FE7" w:rsidP="00D06FE7">
      <w:pPr>
        <w:pStyle w:val="aa"/>
        <w:numPr>
          <w:ilvl w:val="0"/>
          <w:numId w:val="5"/>
        </w:numPr>
        <w:spacing w:line="240" w:lineRule="auto"/>
        <w:ind w:leftChars="0" w:firstLineChars="0"/>
        <w:jc w:val="both"/>
        <w:rPr>
          <w:rFonts w:eastAsia="新細明體"/>
          <w:sz w:val="20"/>
        </w:rPr>
      </w:pPr>
      <w:r w:rsidRPr="009D0C46">
        <w:rPr>
          <w:rFonts w:eastAsia="新細明體" w:hint="eastAsia"/>
          <w:sz w:val="20"/>
        </w:rPr>
        <w:t>測試模式</w:t>
      </w:r>
      <w:r w:rsidRPr="009D0C46">
        <w:rPr>
          <w:rFonts w:eastAsia="新細明體"/>
          <w:sz w:val="20"/>
        </w:rPr>
        <w:t>2—</w:t>
      </w:r>
      <w:r w:rsidRPr="009D0C46">
        <w:rPr>
          <w:rFonts w:eastAsia="新細明體" w:hint="eastAsia"/>
          <w:sz w:val="20"/>
        </w:rPr>
        <w:t>長時間低電流負荷測試</w:t>
      </w:r>
    </w:p>
    <w:p w:rsidR="00D06FE7" w:rsidRPr="00BA76F4" w:rsidRDefault="00D06FE7" w:rsidP="00D06FE7">
      <w:pPr>
        <w:spacing w:line="240" w:lineRule="auto"/>
        <w:ind w:leftChars="101" w:left="283" w:firstLineChars="202" w:firstLine="404"/>
        <w:jc w:val="both"/>
        <w:rPr>
          <w:rFonts w:eastAsia="新細明體"/>
          <w:sz w:val="20"/>
          <w:szCs w:val="20"/>
        </w:rPr>
      </w:pPr>
      <w:r w:rsidRPr="00BA76F4">
        <w:rPr>
          <w:rFonts w:eastAsia="新細明體" w:hint="eastAsia"/>
          <w:sz w:val="20"/>
          <w:szCs w:val="20"/>
        </w:rPr>
        <w:t>此測試模式是關閉所有車輛電器負載，緊操作頭燈開關並開啟近燈，並以耗電電流</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12A</w:t>
        </w:r>
      </w:smartTag>
      <w:r w:rsidRPr="00BA76F4">
        <w:rPr>
          <w:rFonts w:eastAsia="新細明體" w:hint="eastAsia"/>
          <w:sz w:val="20"/>
          <w:szCs w:val="20"/>
        </w:rPr>
        <w:t>進行放電</w:t>
      </w:r>
      <w:r w:rsidRPr="00BA76F4">
        <w:rPr>
          <w:rFonts w:eastAsia="新細明體"/>
          <w:sz w:val="20"/>
          <w:szCs w:val="20"/>
        </w:rPr>
        <w:t>600</w:t>
      </w:r>
      <w:r w:rsidRPr="00BA76F4">
        <w:rPr>
          <w:rFonts w:eastAsia="新細明體" w:hint="eastAsia"/>
          <w:sz w:val="20"/>
          <w:szCs w:val="20"/>
        </w:rPr>
        <w:t>秒，放電結束後關閉近燈發並動引擎使發電機充電，除供電給點火系統外，不加諸任何電器負載，並進行</w:t>
      </w:r>
      <w:r w:rsidRPr="00BA76F4">
        <w:rPr>
          <w:rFonts w:eastAsia="新細明體"/>
          <w:sz w:val="20"/>
          <w:szCs w:val="20"/>
        </w:rPr>
        <w:t>30</w:t>
      </w:r>
      <w:r w:rsidRPr="00BA76F4">
        <w:rPr>
          <w:rFonts w:eastAsia="新細明體" w:hint="eastAsia"/>
          <w:sz w:val="20"/>
          <w:szCs w:val="20"/>
        </w:rPr>
        <w:t>分鐘電瓶電流回充試驗，針對時間軸上電流變化、回復原電壓所需時間與最終充電電流值進行記錄，以推算測試電瓶放電後發電機對電瓶回充效率。</w:t>
      </w:r>
    </w:p>
    <w:p w:rsidR="00D06FE7" w:rsidRPr="00BA76F4" w:rsidRDefault="00D06FE7" w:rsidP="00D06FE7">
      <w:pPr>
        <w:spacing w:line="240" w:lineRule="auto"/>
        <w:ind w:leftChars="101" w:left="283" w:firstLineChars="202" w:firstLine="404"/>
        <w:jc w:val="both"/>
        <w:rPr>
          <w:rFonts w:eastAsia="新細明體"/>
          <w:sz w:val="20"/>
          <w:szCs w:val="20"/>
        </w:rPr>
      </w:pPr>
      <w:r w:rsidRPr="00BA76F4">
        <w:rPr>
          <w:rFonts w:eastAsia="新細明體" w:hint="eastAsia"/>
          <w:sz w:val="20"/>
          <w:szCs w:val="20"/>
        </w:rPr>
        <w:t>實驗結果顯示，使用鉛酸電瓶之引擎在開頭燈，</w:t>
      </w:r>
      <w:r w:rsidRPr="00BA76F4">
        <w:rPr>
          <w:rFonts w:eastAsia="新細明體"/>
          <w:sz w:val="20"/>
          <w:szCs w:val="20"/>
        </w:rPr>
        <w:t>600</w:t>
      </w:r>
      <w:r w:rsidRPr="00BA76F4">
        <w:rPr>
          <w:rFonts w:eastAsia="新細明體" w:hint="eastAsia"/>
          <w:sz w:val="20"/>
          <w:szCs w:val="20"/>
        </w:rPr>
        <w:t>秒低電流耗電後，引擎發動初期發電機對電瓶充電電流達</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45A</w:t>
        </w:r>
      </w:smartTag>
      <w:r w:rsidRPr="00BA76F4">
        <w:rPr>
          <w:rFonts w:eastAsia="新細明體" w:hint="eastAsia"/>
          <w:sz w:val="20"/>
          <w:szCs w:val="20"/>
        </w:rPr>
        <w:t>，</w:t>
      </w:r>
      <w:r w:rsidRPr="00BA76F4">
        <w:rPr>
          <w:rFonts w:eastAsia="新細明體"/>
          <w:sz w:val="20"/>
          <w:szCs w:val="20"/>
        </w:rPr>
        <w:t>60</w:t>
      </w:r>
      <w:r w:rsidRPr="00BA76F4">
        <w:rPr>
          <w:rFonts w:eastAsia="新細明體" w:hint="eastAsia"/>
          <w:sz w:val="20"/>
          <w:szCs w:val="20"/>
        </w:rPr>
        <w:t>秒後發電機對電瓶充電電流降低到</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18A</w:t>
        </w:r>
      </w:smartTag>
      <w:r w:rsidRPr="00BA76F4">
        <w:rPr>
          <w:rFonts w:eastAsia="新細明體" w:hint="eastAsia"/>
          <w:sz w:val="20"/>
          <w:szCs w:val="20"/>
        </w:rPr>
        <w:t>，隨時間變化而逐步降低，但需於在</w:t>
      </w:r>
      <w:r w:rsidRPr="00BA76F4">
        <w:rPr>
          <w:rFonts w:eastAsia="新細明體"/>
          <w:sz w:val="20"/>
          <w:szCs w:val="20"/>
        </w:rPr>
        <w:lastRenderedPageBreak/>
        <w:t>1200</w:t>
      </w:r>
      <w:r w:rsidRPr="00BA76F4">
        <w:rPr>
          <w:rFonts w:eastAsia="新細明體" w:hint="eastAsia"/>
          <w:sz w:val="20"/>
          <w:szCs w:val="20"/>
        </w:rPr>
        <w:t>秒後，發電機充電電流才能穩定保持在</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1.7A</w:t>
        </w:r>
      </w:smartTag>
      <w:r w:rsidRPr="00BA76F4">
        <w:rPr>
          <w:rFonts w:eastAsia="新細明體" w:hint="eastAsia"/>
          <w:sz w:val="20"/>
          <w:szCs w:val="20"/>
        </w:rPr>
        <w:t>，顯示已將電瓶所損耗掉的電回充到飽和。而使用鋰鐵電瓶之實驗組，在引擎發動初期發電機對電瓶充電電流達</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57A</w:t>
        </w:r>
      </w:smartTag>
      <w:r w:rsidRPr="00BA76F4">
        <w:rPr>
          <w:rFonts w:eastAsia="新細明體" w:hint="eastAsia"/>
          <w:sz w:val="20"/>
          <w:szCs w:val="20"/>
        </w:rPr>
        <w:t>，</w:t>
      </w:r>
      <w:r w:rsidRPr="00BA76F4">
        <w:rPr>
          <w:rFonts w:eastAsia="新細明體"/>
          <w:sz w:val="20"/>
          <w:szCs w:val="20"/>
        </w:rPr>
        <w:t>60</w:t>
      </w:r>
      <w:r w:rsidRPr="00BA76F4">
        <w:rPr>
          <w:rFonts w:eastAsia="新細明體" w:hint="eastAsia"/>
          <w:sz w:val="20"/>
          <w:szCs w:val="20"/>
        </w:rPr>
        <w:t>秒後發電機對電瓶充電電流降低到</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45A</w:t>
        </w:r>
      </w:smartTag>
      <w:r w:rsidRPr="00BA76F4">
        <w:rPr>
          <w:rFonts w:eastAsia="新細明體" w:hint="eastAsia"/>
          <w:sz w:val="20"/>
          <w:szCs w:val="20"/>
        </w:rPr>
        <w:t>，隨時間變化而逐步降低，在</w:t>
      </w:r>
      <w:r w:rsidRPr="00BA76F4">
        <w:rPr>
          <w:rFonts w:eastAsia="新細明體"/>
          <w:sz w:val="20"/>
          <w:szCs w:val="20"/>
        </w:rPr>
        <w:t>480</w:t>
      </w:r>
      <w:r w:rsidRPr="00BA76F4">
        <w:rPr>
          <w:rFonts w:eastAsia="新細明體" w:hint="eastAsia"/>
          <w:sz w:val="20"/>
          <w:szCs w:val="20"/>
        </w:rPr>
        <w:t>秒後發電機充電電流穩定保持在</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0.3A</w:t>
        </w:r>
      </w:smartTag>
      <w:r w:rsidRPr="00BA76F4">
        <w:rPr>
          <w:rFonts w:eastAsia="新細明體" w:hint="eastAsia"/>
          <w:sz w:val="20"/>
          <w:szCs w:val="20"/>
        </w:rPr>
        <w:t>，顯示</w:t>
      </w:r>
      <w:r w:rsidRPr="00BA76F4">
        <w:rPr>
          <w:rFonts w:eastAsia="新細明體"/>
          <w:sz w:val="20"/>
          <w:szCs w:val="20"/>
        </w:rPr>
        <w:t>8</w:t>
      </w:r>
      <w:r w:rsidRPr="00BA76F4">
        <w:rPr>
          <w:rFonts w:eastAsia="新細明體" w:hint="eastAsia"/>
          <w:sz w:val="20"/>
          <w:szCs w:val="20"/>
        </w:rPr>
        <w:t>分鐘後才能將電瓶所損耗掉的電回充到飽和，本測試模式屬於長時間低度放電，因此在無其他電器負載使用下，發電機對兩組電瓶回充的時間差異非常顯著。</w:t>
      </w:r>
    </w:p>
    <w:p w:rsidR="00D06FE7" w:rsidRPr="00BA76F4" w:rsidRDefault="00D06FE7" w:rsidP="00D06FE7">
      <w:pPr>
        <w:spacing w:line="240" w:lineRule="auto"/>
        <w:ind w:leftChars="101" w:left="283" w:firstLineChars="202" w:firstLine="404"/>
        <w:jc w:val="both"/>
        <w:rPr>
          <w:rFonts w:eastAsia="新細明體"/>
          <w:sz w:val="20"/>
          <w:szCs w:val="20"/>
        </w:rPr>
      </w:pPr>
      <w:r w:rsidRPr="00BA76F4">
        <w:rPr>
          <w:rFonts w:eastAsia="新細明體" w:hint="eastAsia"/>
          <w:sz w:val="20"/>
          <w:szCs w:val="20"/>
        </w:rPr>
        <w:t>在長時間低度放電的負載模式中，</w:t>
      </w:r>
      <w:r w:rsidRPr="00BA76F4">
        <w:rPr>
          <w:rFonts w:eastAsia="新細明體"/>
          <w:sz w:val="20"/>
          <w:szCs w:val="20"/>
        </w:rPr>
        <w:t xml:space="preserve"> </w:t>
      </w:r>
      <w:r w:rsidRPr="00BA76F4">
        <w:rPr>
          <w:rFonts w:eastAsia="新細明體" w:hint="eastAsia"/>
          <w:sz w:val="20"/>
          <w:szCs w:val="20"/>
        </w:rPr>
        <w:t>鋰鐵電瓶</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57A</w:t>
        </w:r>
      </w:smartTag>
      <w:r w:rsidRPr="00BA76F4">
        <w:rPr>
          <w:rFonts w:eastAsia="新細明體" w:hint="eastAsia"/>
          <w:sz w:val="20"/>
          <w:szCs w:val="20"/>
        </w:rPr>
        <w:t>的初始回充電流遠高於鉛酸電瓶的</w:t>
      </w:r>
      <w:r w:rsidRPr="00BA76F4">
        <w:rPr>
          <w:rFonts w:eastAsia="新細明體"/>
          <w:sz w:val="20"/>
          <w:szCs w:val="20"/>
        </w:rPr>
        <w:t>45</w:t>
      </w:r>
      <w:r w:rsidRPr="00BA76F4">
        <w:rPr>
          <w:rFonts w:eastAsia="新細明體" w:hint="eastAsia"/>
          <w:sz w:val="20"/>
          <w:szCs w:val="20"/>
        </w:rPr>
        <w:t>安培，在電瓶電流回充飽和時間上，鋰鐵電瓶需時</w:t>
      </w:r>
      <w:r w:rsidRPr="00BA76F4">
        <w:rPr>
          <w:rFonts w:eastAsia="新細明體"/>
          <w:sz w:val="20"/>
          <w:szCs w:val="20"/>
        </w:rPr>
        <w:t>480</w:t>
      </w:r>
      <w:r w:rsidRPr="00BA76F4">
        <w:rPr>
          <w:rFonts w:eastAsia="新細明體" w:hint="eastAsia"/>
          <w:sz w:val="20"/>
          <w:szCs w:val="20"/>
        </w:rPr>
        <w:t>秒，鉛酸電瓶更久需時</w:t>
      </w:r>
      <w:r w:rsidRPr="00BA76F4">
        <w:rPr>
          <w:rFonts w:eastAsia="新細明體"/>
          <w:sz w:val="20"/>
          <w:szCs w:val="20"/>
        </w:rPr>
        <w:t>1200</w:t>
      </w:r>
      <w:r w:rsidRPr="00BA76F4">
        <w:rPr>
          <w:rFonts w:eastAsia="新細明體" w:hint="eastAsia"/>
          <w:sz w:val="20"/>
          <w:szCs w:val="20"/>
        </w:rPr>
        <w:t>秒，顯見在長時間低度放電的負載模式下，顯見鋰鐵電瓶可更有效率的完成回充動作。至於電壓與電流飽和後，鋰鐵電瓶最終充電電流可穩定保持在原初始充電電流的</w:t>
      </w:r>
      <w:r w:rsidRPr="00BA76F4">
        <w:rPr>
          <w:rFonts w:eastAsia="新細明體"/>
          <w:sz w:val="20"/>
          <w:szCs w:val="20"/>
        </w:rPr>
        <w:t>0.52%</w:t>
      </w:r>
      <w:r w:rsidRPr="00BA76F4">
        <w:rPr>
          <w:rFonts w:eastAsia="新細明體" w:hint="eastAsia"/>
          <w:sz w:val="20"/>
          <w:szCs w:val="20"/>
        </w:rPr>
        <w:t>，且在</w:t>
      </w:r>
      <w:r w:rsidRPr="00BA76F4">
        <w:rPr>
          <w:rFonts w:eastAsia="新細明體"/>
          <w:sz w:val="20"/>
          <w:szCs w:val="20"/>
        </w:rPr>
        <w:t>30</w:t>
      </w:r>
      <w:r w:rsidRPr="00BA76F4">
        <w:rPr>
          <w:rFonts w:eastAsia="新細明體" w:hint="eastAsia"/>
          <w:sz w:val="20"/>
          <w:szCs w:val="20"/>
        </w:rPr>
        <w:t>分鐘的時間回充測試時間中，在</w:t>
      </w:r>
      <w:r w:rsidRPr="00BA76F4">
        <w:rPr>
          <w:rFonts w:eastAsia="新細明體"/>
          <w:sz w:val="20"/>
          <w:szCs w:val="20"/>
        </w:rPr>
        <w:t>8</w:t>
      </w:r>
      <w:r w:rsidRPr="00BA76F4">
        <w:rPr>
          <w:rFonts w:eastAsia="新細明體" w:hint="eastAsia"/>
          <w:sz w:val="20"/>
          <w:szCs w:val="20"/>
        </w:rPr>
        <w:t>分鐘內就回充飽和。鉛酸電瓶最終充電電流依然會穩定保持在原初始充電電流的</w:t>
      </w:r>
      <w:r w:rsidRPr="00BA76F4">
        <w:rPr>
          <w:rFonts w:eastAsia="新細明體"/>
          <w:sz w:val="20"/>
          <w:szCs w:val="20"/>
        </w:rPr>
        <w:t>3.8%</w:t>
      </w:r>
      <w:r w:rsidRPr="00BA76F4">
        <w:rPr>
          <w:rFonts w:eastAsia="新細明體" w:hint="eastAsia"/>
          <w:sz w:val="20"/>
          <w:szCs w:val="20"/>
        </w:rPr>
        <w:t>，但在</w:t>
      </w:r>
      <w:r w:rsidRPr="00BA76F4">
        <w:rPr>
          <w:rFonts w:eastAsia="新細明體"/>
          <w:sz w:val="20"/>
          <w:szCs w:val="20"/>
        </w:rPr>
        <w:t>30</w:t>
      </w:r>
      <w:r w:rsidRPr="00BA76F4">
        <w:rPr>
          <w:rFonts w:eastAsia="新細明體" w:hint="eastAsia"/>
          <w:sz w:val="20"/>
          <w:szCs w:val="20"/>
        </w:rPr>
        <w:t>分鐘的時間回充測試時間中，需到</w:t>
      </w:r>
      <w:r w:rsidRPr="00BA76F4">
        <w:rPr>
          <w:rFonts w:eastAsia="新細明體"/>
          <w:sz w:val="20"/>
          <w:szCs w:val="20"/>
        </w:rPr>
        <w:t>21</w:t>
      </w:r>
      <w:r w:rsidRPr="00BA76F4">
        <w:rPr>
          <w:rFonts w:eastAsia="新細明體" w:hint="eastAsia"/>
          <w:sz w:val="20"/>
          <w:szCs w:val="20"/>
        </w:rPr>
        <w:t>分鐘後才能回充飽和。兩者初始回充電流鋰鐵電瓶比鉛酸電瓶高</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12A</w:t>
        </w:r>
      </w:smartTag>
      <w:r w:rsidRPr="00BA76F4">
        <w:rPr>
          <w:rFonts w:eastAsia="新細明體" w:hint="eastAsia"/>
          <w:sz w:val="20"/>
          <w:szCs w:val="20"/>
        </w:rPr>
        <w:t>，而鉛酸電瓶需耗時約</w:t>
      </w:r>
      <w:r w:rsidRPr="00BA76F4">
        <w:rPr>
          <w:rFonts w:eastAsia="新細明體"/>
          <w:sz w:val="20"/>
          <w:szCs w:val="20"/>
        </w:rPr>
        <w:t>20</w:t>
      </w:r>
      <w:r w:rsidRPr="00BA76F4">
        <w:rPr>
          <w:rFonts w:eastAsia="新細明體" w:hint="eastAsia"/>
          <w:sz w:val="20"/>
          <w:szCs w:val="20"/>
        </w:rPr>
        <w:t>分鐘才能將電瓶充滿。</w:t>
      </w:r>
    </w:p>
    <w:p w:rsidR="00D06FE7" w:rsidRPr="009D0C46" w:rsidRDefault="00D06FE7" w:rsidP="00D06FE7">
      <w:pPr>
        <w:pStyle w:val="aa"/>
        <w:numPr>
          <w:ilvl w:val="0"/>
          <w:numId w:val="5"/>
        </w:numPr>
        <w:spacing w:line="240" w:lineRule="auto"/>
        <w:ind w:leftChars="0" w:firstLineChars="0"/>
        <w:jc w:val="both"/>
        <w:rPr>
          <w:rFonts w:eastAsia="新細明體"/>
          <w:sz w:val="20"/>
        </w:rPr>
      </w:pPr>
      <w:r w:rsidRPr="009D0C46">
        <w:rPr>
          <w:rFonts w:eastAsia="新細明體" w:hint="eastAsia"/>
          <w:sz w:val="20"/>
        </w:rPr>
        <w:t>測試條件</w:t>
      </w:r>
      <w:r w:rsidRPr="009D0C46">
        <w:rPr>
          <w:rFonts w:eastAsia="新細明體"/>
          <w:sz w:val="20"/>
        </w:rPr>
        <w:t xml:space="preserve">3-- </w:t>
      </w:r>
      <w:r w:rsidRPr="009D0C46">
        <w:rPr>
          <w:rFonts w:eastAsia="新細明體" w:hint="eastAsia"/>
          <w:sz w:val="20"/>
        </w:rPr>
        <w:t>長時間中電流負載測試</w:t>
      </w:r>
    </w:p>
    <w:p w:rsidR="00D06FE7" w:rsidRPr="00BA76F4" w:rsidRDefault="00D06FE7" w:rsidP="00D06FE7">
      <w:pPr>
        <w:spacing w:line="240" w:lineRule="auto"/>
        <w:ind w:leftChars="100" w:left="280" w:firstLine="400"/>
        <w:jc w:val="both"/>
        <w:rPr>
          <w:rFonts w:eastAsia="新細明體"/>
          <w:sz w:val="20"/>
          <w:szCs w:val="20"/>
        </w:rPr>
      </w:pPr>
      <w:r w:rsidRPr="00BA76F4">
        <w:rPr>
          <w:rFonts w:eastAsia="新細明體" w:hint="eastAsia"/>
          <w:sz w:val="20"/>
          <w:szCs w:val="20"/>
        </w:rPr>
        <w:t>此測試模式是操作車身電器，開啟點火開關並開啟近燈、遠燈及鼓風機馬達開至最高速，使電瓶中度耗電</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35A</w:t>
        </w:r>
      </w:smartTag>
      <w:r w:rsidRPr="00BA76F4">
        <w:rPr>
          <w:rFonts w:eastAsia="新細明體" w:hint="eastAsia"/>
          <w:sz w:val="20"/>
          <w:szCs w:val="20"/>
        </w:rPr>
        <w:t>並放電</w:t>
      </w:r>
      <w:r w:rsidRPr="00BA76F4">
        <w:rPr>
          <w:rFonts w:eastAsia="新細明體"/>
          <w:sz w:val="20"/>
          <w:szCs w:val="20"/>
        </w:rPr>
        <w:t>600</w:t>
      </w:r>
      <w:r w:rsidRPr="00BA76F4">
        <w:rPr>
          <w:rFonts w:eastAsia="新細明體" w:hint="eastAsia"/>
          <w:sz w:val="20"/>
          <w:szCs w:val="20"/>
        </w:rPr>
        <w:t>秒，放電結束後關閉近燈、遠燈及鼓風機馬達並發動引擎使發電機發電，除供電給點火系統外，不加諸任何電器負載，並進行</w:t>
      </w:r>
      <w:r w:rsidRPr="00BA76F4">
        <w:rPr>
          <w:rFonts w:eastAsia="新細明體"/>
          <w:sz w:val="20"/>
          <w:szCs w:val="20"/>
        </w:rPr>
        <w:t>30</w:t>
      </w:r>
      <w:r w:rsidRPr="00BA76F4">
        <w:rPr>
          <w:rFonts w:eastAsia="新細明體" w:hint="eastAsia"/>
          <w:sz w:val="20"/>
          <w:szCs w:val="20"/>
        </w:rPr>
        <w:t>分鐘電瓶電流回充試驗，針對時間軸上電流變化、回復原電壓所需時間與最終充電電流值進行記錄，以推算測試電瓶放電後發電機對電瓶回充效率。</w:t>
      </w:r>
      <w:bookmarkStart w:id="6" w:name="_Toc394183349"/>
    </w:p>
    <w:p w:rsidR="00D06FE7" w:rsidRPr="00BA76F4" w:rsidRDefault="00D06FE7" w:rsidP="00D06FE7">
      <w:pPr>
        <w:spacing w:line="240" w:lineRule="auto"/>
        <w:ind w:leftChars="101" w:left="283" w:firstLine="400"/>
        <w:jc w:val="both"/>
        <w:rPr>
          <w:rFonts w:eastAsia="新細明體"/>
          <w:sz w:val="20"/>
          <w:szCs w:val="20"/>
        </w:rPr>
      </w:pPr>
      <w:r w:rsidRPr="00BA76F4">
        <w:rPr>
          <w:rFonts w:eastAsia="新細明體" w:hint="eastAsia"/>
          <w:sz w:val="20"/>
          <w:szCs w:val="20"/>
        </w:rPr>
        <w:t>實驗結果顯示，使用鉛酸電瓶之車輛在開啟近燈、遠燈及鼓風機馬達開至最高速的高電器負載下，進行</w:t>
      </w:r>
      <w:r w:rsidRPr="00BA76F4">
        <w:rPr>
          <w:rFonts w:eastAsia="新細明體"/>
          <w:sz w:val="20"/>
          <w:szCs w:val="20"/>
        </w:rPr>
        <w:t>600</w:t>
      </w:r>
      <w:r w:rsidRPr="00BA76F4">
        <w:rPr>
          <w:rFonts w:eastAsia="新細明體" w:hint="eastAsia"/>
          <w:sz w:val="20"/>
          <w:szCs w:val="20"/>
        </w:rPr>
        <w:t>秒及</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35A</w:t>
        </w:r>
      </w:smartTag>
      <w:r w:rsidRPr="00BA76F4">
        <w:rPr>
          <w:rFonts w:eastAsia="新細明體" w:hint="eastAsia"/>
          <w:sz w:val="20"/>
          <w:szCs w:val="20"/>
        </w:rPr>
        <w:t>中電流耗電後，引擎發動初期發電機對電瓶充電電流達</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60A</w:t>
        </w:r>
      </w:smartTag>
      <w:r w:rsidRPr="00BA76F4">
        <w:rPr>
          <w:rFonts w:eastAsia="新細明體" w:hint="eastAsia"/>
          <w:sz w:val="20"/>
          <w:szCs w:val="20"/>
        </w:rPr>
        <w:t>，</w:t>
      </w:r>
      <w:r w:rsidRPr="00BA76F4">
        <w:rPr>
          <w:rFonts w:eastAsia="新細明體"/>
          <w:sz w:val="20"/>
          <w:szCs w:val="20"/>
        </w:rPr>
        <w:t>60</w:t>
      </w:r>
      <w:r w:rsidRPr="00BA76F4">
        <w:rPr>
          <w:rFonts w:eastAsia="新細明體" w:hint="eastAsia"/>
          <w:sz w:val="20"/>
          <w:szCs w:val="20"/>
        </w:rPr>
        <w:t>秒後發電機對電瓶充電電流降低到</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38A</w:t>
        </w:r>
      </w:smartTag>
      <w:r w:rsidRPr="00BA76F4">
        <w:rPr>
          <w:rFonts w:eastAsia="新細明體" w:hint="eastAsia"/>
          <w:sz w:val="20"/>
          <w:szCs w:val="20"/>
        </w:rPr>
        <w:t>，隨時間變化而逐步降低，但在測試的</w:t>
      </w:r>
      <w:r w:rsidRPr="00BA76F4">
        <w:rPr>
          <w:rFonts w:eastAsia="新細明體"/>
          <w:sz w:val="20"/>
          <w:szCs w:val="20"/>
        </w:rPr>
        <w:t>1800</w:t>
      </w:r>
      <w:r w:rsidRPr="00BA76F4">
        <w:rPr>
          <w:rFonts w:eastAsia="新細明體" w:hint="eastAsia"/>
          <w:sz w:val="20"/>
          <w:szCs w:val="20"/>
        </w:rPr>
        <w:t>秒內，發電機充電電流仍無法穩定保持在固定值，且高於短暫重度放電模式與長時間中度放電模式之充電電流，顯示在測試時間內電瓶仍無法將所損耗掉的電回充到飽和。而使用鋰鐵電瓶之實驗組，在引擎發動初期發電機對電瓶充電電流達</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66A</w:t>
        </w:r>
      </w:smartTag>
      <w:r w:rsidRPr="00BA76F4">
        <w:rPr>
          <w:rFonts w:eastAsia="新細明體" w:hint="eastAsia"/>
          <w:sz w:val="20"/>
          <w:szCs w:val="20"/>
        </w:rPr>
        <w:t>，</w:t>
      </w:r>
      <w:r w:rsidRPr="00BA76F4">
        <w:rPr>
          <w:rFonts w:eastAsia="新細明體"/>
          <w:sz w:val="20"/>
          <w:szCs w:val="20"/>
        </w:rPr>
        <w:t>600</w:t>
      </w:r>
      <w:r w:rsidRPr="00BA76F4">
        <w:rPr>
          <w:rFonts w:eastAsia="新細明體" w:hint="eastAsia"/>
          <w:sz w:val="20"/>
          <w:szCs w:val="20"/>
        </w:rPr>
        <w:t>秒後發電機對電瓶充電電流降低到</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13.3A</w:t>
        </w:r>
      </w:smartTag>
      <w:r w:rsidRPr="00BA76F4">
        <w:rPr>
          <w:rFonts w:eastAsia="新細明體" w:hint="eastAsia"/>
          <w:sz w:val="20"/>
          <w:szCs w:val="20"/>
        </w:rPr>
        <w:t>，</w:t>
      </w:r>
      <w:r w:rsidRPr="00BA76F4">
        <w:rPr>
          <w:rFonts w:eastAsia="新細明體"/>
          <w:sz w:val="20"/>
          <w:szCs w:val="20"/>
        </w:rPr>
        <w:t>840</w:t>
      </w:r>
      <w:r w:rsidRPr="00BA76F4">
        <w:rPr>
          <w:rFonts w:eastAsia="新細明體" w:hint="eastAsia"/>
          <w:sz w:val="20"/>
          <w:szCs w:val="20"/>
        </w:rPr>
        <w:t>秒後發電機對電瓶充電電流降低到</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0.3A</w:t>
        </w:r>
      </w:smartTag>
      <w:r w:rsidRPr="00BA76F4">
        <w:rPr>
          <w:rFonts w:eastAsia="新細明體" w:hint="eastAsia"/>
          <w:sz w:val="20"/>
          <w:szCs w:val="20"/>
        </w:rPr>
        <w:t>，隨時間變化發電機充電電流穩定保持在</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0.3A</w:t>
        </w:r>
      </w:smartTag>
      <w:r w:rsidRPr="00BA76F4">
        <w:rPr>
          <w:rFonts w:eastAsia="新細明體" w:hint="eastAsia"/>
          <w:sz w:val="20"/>
          <w:szCs w:val="20"/>
        </w:rPr>
        <w:t>，顯示</w:t>
      </w:r>
      <w:r w:rsidRPr="00BA76F4">
        <w:rPr>
          <w:rFonts w:eastAsia="新細明體"/>
          <w:sz w:val="20"/>
          <w:szCs w:val="20"/>
        </w:rPr>
        <w:t>14</w:t>
      </w:r>
      <w:r w:rsidRPr="00BA76F4">
        <w:rPr>
          <w:rFonts w:eastAsia="新細明體" w:hint="eastAsia"/>
          <w:sz w:val="20"/>
          <w:szCs w:val="20"/>
        </w:rPr>
        <w:t>分鐘後才能將電瓶所損耗掉的電回充到飽和，本測試模式屬於長時間中度放電，因此在無其他電器負載使用下，發電機對兩組電瓶回充的時間差異十分顯著。</w:t>
      </w:r>
    </w:p>
    <w:p w:rsidR="00D06FE7" w:rsidRPr="00BA76F4" w:rsidRDefault="00D06FE7" w:rsidP="00D06FE7">
      <w:pPr>
        <w:spacing w:line="240" w:lineRule="auto"/>
        <w:ind w:leftChars="101" w:left="283" w:firstLineChars="202" w:firstLine="404"/>
        <w:jc w:val="both"/>
        <w:rPr>
          <w:rFonts w:eastAsia="新細明體"/>
          <w:sz w:val="20"/>
          <w:szCs w:val="20"/>
        </w:rPr>
      </w:pPr>
      <w:r w:rsidRPr="00BA76F4">
        <w:rPr>
          <w:rFonts w:eastAsia="新細明體" w:hint="eastAsia"/>
          <w:sz w:val="20"/>
          <w:szCs w:val="20"/>
        </w:rPr>
        <w:t>在長時間中度放電的耗電負載模式中，</w:t>
      </w:r>
      <w:r w:rsidRPr="00BA76F4">
        <w:rPr>
          <w:rFonts w:eastAsia="新細明體"/>
          <w:sz w:val="20"/>
          <w:szCs w:val="20"/>
        </w:rPr>
        <w:t xml:space="preserve"> </w:t>
      </w:r>
      <w:r w:rsidRPr="00BA76F4">
        <w:rPr>
          <w:rFonts w:eastAsia="新細明體" w:hint="eastAsia"/>
          <w:sz w:val="20"/>
          <w:szCs w:val="20"/>
        </w:rPr>
        <w:t>鋰鐵電瓶</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66A</w:t>
        </w:r>
      </w:smartTag>
      <w:r w:rsidRPr="00BA76F4">
        <w:rPr>
          <w:rFonts w:eastAsia="新細明體" w:hint="eastAsia"/>
          <w:sz w:val="20"/>
          <w:szCs w:val="20"/>
        </w:rPr>
        <w:t>的初始回充電流與鉛酸電瓶的</w:t>
      </w:r>
      <w:r w:rsidRPr="00BA76F4">
        <w:rPr>
          <w:rFonts w:eastAsia="新細明體"/>
          <w:sz w:val="20"/>
          <w:szCs w:val="20"/>
        </w:rPr>
        <w:t>60</w:t>
      </w:r>
      <w:r w:rsidRPr="00BA76F4">
        <w:rPr>
          <w:rFonts w:eastAsia="新細明體" w:hint="eastAsia"/>
          <w:sz w:val="20"/>
          <w:szCs w:val="20"/>
        </w:rPr>
        <w:t>安培差異性不大，在電瓶電流回充飽和時間上，鋰鐵電瓶需時</w:t>
      </w:r>
      <w:r w:rsidRPr="00BA76F4">
        <w:rPr>
          <w:rFonts w:eastAsia="新細明體"/>
          <w:sz w:val="20"/>
          <w:szCs w:val="20"/>
        </w:rPr>
        <w:t>480</w:t>
      </w:r>
      <w:r w:rsidRPr="00BA76F4">
        <w:rPr>
          <w:rFonts w:eastAsia="新細明體" w:hint="eastAsia"/>
          <w:sz w:val="20"/>
          <w:szCs w:val="20"/>
        </w:rPr>
        <w:t>秒，鉛酸電瓶更久需時</w:t>
      </w:r>
      <w:r w:rsidRPr="00BA76F4">
        <w:rPr>
          <w:rFonts w:eastAsia="新細明體"/>
          <w:sz w:val="20"/>
          <w:szCs w:val="20"/>
        </w:rPr>
        <w:t>1200</w:t>
      </w:r>
      <w:r w:rsidRPr="00BA76F4">
        <w:rPr>
          <w:rFonts w:eastAsia="新細明體" w:hint="eastAsia"/>
          <w:sz w:val="20"/>
          <w:szCs w:val="20"/>
        </w:rPr>
        <w:t>秒，顯見在長時間中度放電的負載模式下，鋰鐵電瓶比鉛酸電瓶可更有效率的完成回充動作。且在</w:t>
      </w:r>
      <w:r w:rsidRPr="00BA76F4">
        <w:rPr>
          <w:rFonts w:eastAsia="新細明體"/>
          <w:sz w:val="20"/>
          <w:szCs w:val="20"/>
        </w:rPr>
        <w:t>30</w:t>
      </w:r>
      <w:r w:rsidRPr="00BA76F4">
        <w:rPr>
          <w:rFonts w:eastAsia="新細明體" w:hint="eastAsia"/>
          <w:sz w:val="20"/>
          <w:szCs w:val="20"/>
        </w:rPr>
        <w:t>分鐘的時間回充測試時間中，鋰鐵電瓶在</w:t>
      </w:r>
      <w:r w:rsidRPr="00BA76F4">
        <w:rPr>
          <w:rFonts w:eastAsia="新細明體"/>
          <w:sz w:val="20"/>
          <w:szCs w:val="20"/>
        </w:rPr>
        <w:t>14</w:t>
      </w:r>
      <w:r w:rsidRPr="00BA76F4">
        <w:rPr>
          <w:rFonts w:eastAsia="新細明體" w:hint="eastAsia"/>
          <w:sz w:val="20"/>
          <w:szCs w:val="20"/>
        </w:rPr>
        <w:t>分鐘內最終充電電流就可穩定保持在最終充電電流</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0.3A</w:t>
        </w:r>
      </w:smartTag>
      <w:r w:rsidRPr="00BA76F4">
        <w:rPr>
          <w:rFonts w:eastAsia="新細明體" w:hint="eastAsia"/>
          <w:sz w:val="20"/>
          <w:szCs w:val="20"/>
        </w:rPr>
        <w:t>，鉛酸電瓶則是要拉長超過</w:t>
      </w:r>
      <w:r w:rsidRPr="00BA76F4">
        <w:rPr>
          <w:rFonts w:eastAsia="新細明體"/>
          <w:sz w:val="20"/>
          <w:szCs w:val="20"/>
        </w:rPr>
        <w:t>30</w:t>
      </w:r>
      <w:r w:rsidRPr="00BA76F4">
        <w:rPr>
          <w:rFonts w:eastAsia="新細明體" w:hint="eastAsia"/>
          <w:sz w:val="20"/>
          <w:szCs w:val="20"/>
        </w:rPr>
        <w:t>分方可穩定保持在最終充電電流</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1.7A</w:t>
        </w:r>
      </w:smartTag>
      <w:r w:rsidRPr="00BA76F4">
        <w:rPr>
          <w:rFonts w:eastAsia="新細明體" w:hint="eastAsia"/>
          <w:sz w:val="20"/>
          <w:szCs w:val="20"/>
        </w:rPr>
        <w:t>。</w:t>
      </w:r>
      <w:r w:rsidRPr="00BA76F4">
        <w:rPr>
          <w:rFonts w:eastAsia="新細明體"/>
          <w:sz w:val="20"/>
          <w:szCs w:val="20"/>
        </w:rPr>
        <w:t xml:space="preserve"> </w:t>
      </w:r>
    </w:p>
    <w:p w:rsidR="00D06FE7" w:rsidRPr="00BA76F4" w:rsidRDefault="00D06FE7" w:rsidP="00D06FE7">
      <w:pPr>
        <w:spacing w:line="240" w:lineRule="auto"/>
        <w:ind w:firstLineChars="0" w:firstLine="0"/>
        <w:jc w:val="both"/>
        <w:rPr>
          <w:rFonts w:eastAsia="新細明體"/>
          <w:b/>
          <w:sz w:val="20"/>
          <w:szCs w:val="20"/>
        </w:rPr>
      </w:pPr>
      <w:r w:rsidRPr="00BA76F4">
        <w:rPr>
          <w:rFonts w:eastAsia="新細明體" w:hint="eastAsia"/>
          <w:b/>
          <w:sz w:val="20"/>
          <w:szCs w:val="20"/>
        </w:rPr>
        <w:t>點火系統二次點火波形分析</w:t>
      </w:r>
      <w:bookmarkEnd w:id="6"/>
    </w:p>
    <w:p w:rsidR="00D06FE7" w:rsidRPr="00BA76F4" w:rsidRDefault="00D06FE7" w:rsidP="00D06FE7">
      <w:pPr>
        <w:spacing w:line="240" w:lineRule="auto"/>
        <w:ind w:firstLineChars="0" w:firstLine="0"/>
        <w:jc w:val="both"/>
        <w:rPr>
          <w:rFonts w:eastAsia="新細明體"/>
          <w:sz w:val="20"/>
          <w:szCs w:val="20"/>
        </w:rPr>
      </w:pPr>
      <w:r w:rsidRPr="00BA76F4">
        <w:rPr>
          <w:rFonts w:eastAsia="新細明體" w:hint="eastAsia"/>
          <w:sz w:val="20"/>
          <w:szCs w:val="20"/>
        </w:rPr>
        <w:t>怠速點火波形擷取</w:t>
      </w:r>
      <w:r w:rsidRPr="00BA76F4">
        <w:rPr>
          <w:rFonts w:eastAsia="新細明體"/>
          <w:sz w:val="20"/>
          <w:szCs w:val="20"/>
        </w:rPr>
        <w:t>--</w:t>
      </w:r>
      <w:r w:rsidRPr="00BA76F4">
        <w:rPr>
          <w:rFonts w:eastAsia="新細明體" w:hint="eastAsia"/>
          <w:sz w:val="20"/>
          <w:szCs w:val="20"/>
        </w:rPr>
        <w:t>使用示波器進行點火系統之點火二次波形擷取，擷取之引擎轉速以引擎怠速為基準。鉛酸電瓶所擷取獲得之二次點火波形最高跳火電壓達</w:t>
      </w:r>
      <w:r w:rsidRPr="00BA76F4">
        <w:rPr>
          <w:rFonts w:eastAsia="新細明體"/>
          <w:sz w:val="20"/>
          <w:szCs w:val="20"/>
        </w:rPr>
        <w:t>13KV</w:t>
      </w:r>
      <w:r w:rsidRPr="00BA76F4">
        <w:rPr>
          <w:rFonts w:eastAsia="新細明體" w:hint="eastAsia"/>
          <w:sz w:val="20"/>
          <w:szCs w:val="20"/>
        </w:rPr>
        <w:t>，其跳火時間為</w:t>
      </w:r>
      <w:r w:rsidRPr="00BA76F4">
        <w:rPr>
          <w:rFonts w:eastAsia="新細明體"/>
          <w:sz w:val="20"/>
          <w:szCs w:val="20"/>
        </w:rPr>
        <w:t>1.2 ms</w:t>
      </w:r>
      <w:r w:rsidRPr="00BA76F4">
        <w:rPr>
          <w:rFonts w:eastAsia="新細明體" w:hint="eastAsia"/>
          <w:sz w:val="20"/>
          <w:szCs w:val="20"/>
        </w:rPr>
        <w:t>，在磁滯震盪上較大，變化變異度大。使用鋰鐵電瓶火花持續時間可達將近</w:t>
      </w:r>
      <w:smartTag w:uri="urn:schemas-microsoft-com:office:smarttags" w:element="chmetcnv">
        <w:smartTagPr>
          <w:attr w:name="UnitName" w:val="a"/>
          <w:attr w:name="SourceValue" w:val="12"/>
          <w:attr w:name="HasSpace" w:val="False"/>
          <w:attr w:name="Negative" w:val="False"/>
          <w:attr w:name="NumberType" w:val="1"/>
          <w:attr w:name="TCSC" w:val="0"/>
        </w:smartTagPr>
        <w:r w:rsidRPr="00BA76F4">
          <w:rPr>
            <w:rFonts w:eastAsia="新細明體"/>
            <w:sz w:val="20"/>
            <w:szCs w:val="20"/>
          </w:rPr>
          <w:t>1.7m</w:t>
        </w:r>
      </w:smartTag>
      <w:r w:rsidRPr="00BA76F4">
        <w:rPr>
          <w:rFonts w:eastAsia="新細明體"/>
          <w:sz w:val="20"/>
          <w:szCs w:val="20"/>
        </w:rPr>
        <w:t>s</w:t>
      </w:r>
      <w:r w:rsidRPr="00BA76F4">
        <w:rPr>
          <w:rFonts w:eastAsia="新細明體" w:hint="eastAsia"/>
          <w:sz w:val="20"/>
          <w:szCs w:val="20"/>
        </w:rPr>
        <w:t>，二次點火波形最高跳火電壓達</w:t>
      </w:r>
      <w:r w:rsidRPr="00BA76F4">
        <w:rPr>
          <w:rFonts w:eastAsia="新細明體"/>
          <w:sz w:val="20"/>
          <w:szCs w:val="20"/>
        </w:rPr>
        <w:t>15KV</w:t>
      </w:r>
      <w:r w:rsidRPr="00BA76F4">
        <w:rPr>
          <w:rFonts w:eastAsia="新細明體" w:hint="eastAsia"/>
          <w:sz w:val="20"/>
          <w:szCs w:val="20"/>
        </w:rPr>
        <w:t>，在磁滯震盪上較小，變化較平穩，圖</w:t>
      </w:r>
      <w:r w:rsidRPr="00BA76F4">
        <w:rPr>
          <w:rFonts w:eastAsia="新細明體"/>
          <w:sz w:val="20"/>
          <w:szCs w:val="20"/>
        </w:rPr>
        <w:t>11</w:t>
      </w:r>
      <w:r w:rsidRPr="00BA76F4">
        <w:rPr>
          <w:rFonts w:eastAsia="新細明體" w:hint="eastAsia"/>
          <w:sz w:val="20"/>
          <w:szCs w:val="20"/>
        </w:rPr>
        <w:t>。</w:t>
      </w:r>
    </w:p>
    <w:p w:rsidR="00D06FE7" w:rsidRPr="00BA76F4" w:rsidRDefault="00D06FE7" w:rsidP="00D06FE7">
      <w:pPr>
        <w:spacing w:line="240" w:lineRule="auto"/>
        <w:ind w:firstLineChars="0" w:firstLine="0"/>
        <w:jc w:val="both"/>
        <w:rPr>
          <w:rFonts w:eastAsia="新細明體"/>
          <w:sz w:val="20"/>
          <w:szCs w:val="20"/>
        </w:rPr>
      </w:pPr>
      <w:r w:rsidRPr="00BA76F4">
        <w:rPr>
          <w:rFonts w:eastAsia="新細明體"/>
          <w:sz w:val="20"/>
          <w:szCs w:val="20"/>
        </w:rPr>
        <w:t>2000rpm</w:t>
      </w:r>
      <w:r w:rsidRPr="00BA76F4">
        <w:rPr>
          <w:rFonts w:eastAsia="新細明體" w:hint="eastAsia"/>
          <w:sz w:val="20"/>
          <w:szCs w:val="20"/>
        </w:rPr>
        <w:t>點火波形擷取</w:t>
      </w:r>
      <w:r w:rsidRPr="00BA76F4">
        <w:rPr>
          <w:rFonts w:eastAsia="新細明體"/>
          <w:sz w:val="20"/>
          <w:szCs w:val="20"/>
        </w:rPr>
        <w:t>--</w:t>
      </w:r>
      <w:r w:rsidRPr="00BA76F4">
        <w:rPr>
          <w:rFonts w:eastAsia="新細明體" w:hint="eastAsia"/>
          <w:sz w:val="20"/>
          <w:szCs w:val="20"/>
        </w:rPr>
        <w:t>使用示波器進行點火系統之點火二次波形擷取，擷取之引擎轉速以引擎</w:t>
      </w:r>
      <w:r w:rsidRPr="00BA76F4">
        <w:rPr>
          <w:rFonts w:eastAsia="新細明體"/>
          <w:sz w:val="20"/>
          <w:szCs w:val="20"/>
        </w:rPr>
        <w:t>2000rpm</w:t>
      </w:r>
      <w:r w:rsidRPr="00BA76F4">
        <w:rPr>
          <w:rFonts w:eastAsia="新細明體" w:hint="eastAsia"/>
          <w:sz w:val="20"/>
          <w:szCs w:val="20"/>
        </w:rPr>
        <w:t>為基準。鉛酸電瓶所擷取獲得之二次點火波形最高跳火電壓達</w:t>
      </w:r>
      <w:r w:rsidRPr="00BA76F4">
        <w:rPr>
          <w:rFonts w:eastAsia="新細明體"/>
          <w:sz w:val="20"/>
          <w:szCs w:val="20"/>
        </w:rPr>
        <w:t>17KV</w:t>
      </w:r>
      <w:r w:rsidRPr="00BA76F4">
        <w:rPr>
          <w:rFonts w:eastAsia="新細明體" w:hint="eastAsia"/>
          <w:sz w:val="20"/>
          <w:szCs w:val="20"/>
        </w:rPr>
        <w:t>，其跳火時間為</w:t>
      </w:r>
      <w:r w:rsidRPr="00BA76F4">
        <w:rPr>
          <w:rFonts w:eastAsia="新細明體"/>
          <w:sz w:val="20"/>
          <w:szCs w:val="20"/>
        </w:rPr>
        <w:t>1.5 ms</w:t>
      </w:r>
      <w:r w:rsidRPr="00BA76F4">
        <w:rPr>
          <w:rFonts w:eastAsia="新細明體" w:hint="eastAsia"/>
          <w:sz w:val="20"/>
          <w:szCs w:val="20"/>
        </w:rPr>
        <w:t>，在磁滯震盪</w:t>
      </w:r>
      <w:r w:rsidRPr="00BA76F4">
        <w:rPr>
          <w:rFonts w:eastAsia="新細明體" w:hint="eastAsia"/>
          <w:sz w:val="20"/>
          <w:szCs w:val="20"/>
        </w:rPr>
        <w:lastRenderedPageBreak/>
        <w:t>起伏更大，變異度高。使用鋰鐵電瓶火花持續時間可達將近</w:t>
      </w:r>
      <w:r w:rsidRPr="00BA76F4">
        <w:rPr>
          <w:rFonts w:eastAsia="新細明體"/>
          <w:sz w:val="20"/>
          <w:szCs w:val="20"/>
        </w:rPr>
        <w:t>1.7ms</w:t>
      </w:r>
      <w:r w:rsidRPr="00BA76F4">
        <w:rPr>
          <w:rFonts w:eastAsia="新細明體" w:hint="eastAsia"/>
          <w:sz w:val="20"/>
          <w:szCs w:val="20"/>
        </w:rPr>
        <w:t>，二次點火波形最高跳火電壓達</w:t>
      </w:r>
      <w:r w:rsidRPr="00BA76F4">
        <w:rPr>
          <w:rFonts w:eastAsia="新細明體"/>
          <w:sz w:val="20"/>
          <w:szCs w:val="20"/>
        </w:rPr>
        <w:t>18KV</w:t>
      </w:r>
      <w:r w:rsidRPr="00BA76F4">
        <w:rPr>
          <w:rFonts w:eastAsia="新細明體" w:hint="eastAsia"/>
          <w:sz w:val="20"/>
          <w:szCs w:val="20"/>
        </w:rPr>
        <w:t>，在磁滯震盪上較小，變化較平穩。</w:t>
      </w:r>
    </w:p>
    <w:p w:rsidR="00D06FE7" w:rsidRPr="00BA76F4" w:rsidRDefault="00D06FE7" w:rsidP="00D06FE7">
      <w:pPr>
        <w:spacing w:line="240" w:lineRule="auto"/>
        <w:ind w:firstLineChars="0" w:firstLine="0"/>
        <w:jc w:val="both"/>
        <w:rPr>
          <w:rFonts w:eastAsia="新細明體"/>
          <w:sz w:val="20"/>
          <w:szCs w:val="20"/>
        </w:rPr>
      </w:pPr>
      <w:r w:rsidRPr="00BA76F4">
        <w:rPr>
          <w:rFonts w:eastAsia="新細明體" w:hint="eastAsia"/>
          <w:sz w:val="20"/>
          <w:szCs w:val="20"/>
        </w:rPr>
        <w:t>使用鉛酸電瓶與鋰鐵電瓶在怠速時火花之比較，鉛酸電瓶持續時間約為</w:t>
      </w:r>
      <w:r w:rsidRPr="00BA76F4">
        <w:rPr>
          <w:rFonts w:eastAsia="新細明體"/>
          <w:sz w:val="20"/>
          <w:szCs w:val="20"/>
        </w:rPr>
        <w:t>1.5ms</w:t>
      </w:r>
      <w:r w:rsidRPr="00BA76F4">
        <w:rPr>
          <w:rFonts w:eastAsia="新細明體" w:hint="eastAsia"/>
          <w:sz w:val="20"/>
          <w:szCs w:val="20"/>
        </w:rPr>
        <w:t>，而使用鋰鐵電瓶火花持續時間可達將近</w:t>
      </w:r>
      <w:r w:rsidRPr="00BA76F4">
        <w:rPr>
          <w:rFonts w:eastAsia="新細明體"/>
          <w:sz w:val="20"/>
          <w:szCs w:val="20"/>
        </w:rPr>
        <w:t>1.8ms</w:t>
      </w:r>
      <w:r w:rsidRPr="00BA76F4">
        <w:rPr>
          <w:rFonts w:eastAsia="新細明體" w:hint="eastAsia"/>
          <w:sz w:val="20"/>
          <w:szCs w:val="20"/>
        </w:rPr>
        <w:t>，並且火花震盪極為平穩，同樣在轉速</w:t>
      </w:r>
      <w:r w:rsidRPr="00BA76F4">
        <w:rPr>
          <w:rFonts w:eastAsia="新細明體"/>
          <w:sz w:val="20"/>
          <w:szCs w:val="20"/>
        </w:rPr>
        <w:t>2000rpm</w:t>
      </w:r>
      <w:r w:rsidRPr="00BA76F4">
        <w:rPr>
          <w:rFonts w:eastAsia="新細明體" w:hint="eastAsia"/>
          <w:sz w:val="20"/>
          <w:szCs w:val="20"/>
        </w:rPr>
        <w:t>時鋰鐵電瓶一樣較鉛酸電瓶燃燒狀態要好，圖</w:t>
      </w:r>
      <w:r w:rsidRPr="00BA76F4">
        <w:rPr>
          <w:rFonts w:eastAsia="新細明體"/>
          <w:sz w:val="20"/>
          <w:szCs w:val="20"/>
        </w:rPr>
        <w:t>12</w:t>
      </w:r>
      <w:r w:rsidRPr="00BA76F4">
        <w:rPr>
          <w:rFonts w:eastAsia="新細明體" w:hint="eastAsia"/>
          <w:sz w:val="20"/>
          <w:szCs w:val="20"/>
        </w:rPr>
        <w:t>。</w:t>
      </w:r>
    </w:p>
    <w:p w:rsidR="00D06FE7" w:rsidRPr="00BA76F4" w:rsidRDefault="00D06FE7" w:rsidP="00D06FE7">
      <w:pPr>
        <w:spacing w:line="240" w:lineRule="auto"/>
        <w:ind w:firstLineChars="0" w:firstLine="0"/>
        <w:jc w:val="both"/>
        <w:rPr>
          <w:rFonts w:eastAsia="新細明體"/>
          <w:b/>
          <w:sz w:val="20"/>
          <w:szCs w:val="20"/>
        </w:rPr>
      </w:pPr>
      <w:r w:rsidRPr="00BA76F4">
        <w:rPr>
          <w:rFonts w:eastAsia="新細明體" w:hint="eastAsia"/>
          <w:sz w:val="20"/>
          <w:szCs w:val="20"/>
        </w:rPr>
        <w:t>由此實驗得知，鋰鐵電瓶因單位重量功率密度高瞬間放電較大，所以對點火線圈而言所提供的能供能量較大，故可使火花持續時間燃燒狀態較為良好。使混合氣燃燒較為完全，並提升引擎性能。</w:t>
      </w:r>
    </w:p>
    <w:p w:rsidR="00D06FE7" w:rsidRDefault="00D06FE7" w:rsidP="00D06FE7">
      <w:pPr>
        <w:spacing w:line="240" w:lineRule="auto"/>
        <w:ind w:firstLineChars="0" w:firstLine="0"/>
        <w:jc w:val="center"/>
        <w:rPr>
          <w:rFonts w:eastAsia="新細明體"/>
          <w:sz w:val="20"/>
          <w:szCs w:val="20"/>
        </w:rPr>
      </w:pPr>
      <w:r>
        <w:rPr>
          <w:rFonts w:eastAsia="新細明體"/>
          <w:noProof/>
          <w:sz w:val="20"/>
          <w:szCs w:val="20"/>
        </w:rPr>
        <w:pict>
          <v:shape id="圖片 12" o:spid="_x0000_i1040" type="#_x0000_t75" style="width:206.25pt;height:155.25pt;visibility:visible">
            <v:imagedata r:id="rId31" o:title=""/>
          </v:shape>
        </w:pict>
      </w:r>
      <w:r>
        <w:rPr>
          <w:rFonts w:eastAsia="新細明體"/>
          <w:noProof/>
          <w:sz w:val="20"/>
          <w:szCs w:val="20"/>
        </w:rPr>
        <w:pict>
          <v:shape id="圖片 13" o:spid="_x0000_i1041" type="#_x0000_t75" style="width:206.25pt;height:154.5pt;visibility:visible">
            <v:imagedata r:id="rId32" o:title=""/>
          </v:shape>
        </w:pict>
      </w:r>
    </w:p>
    <w:p w:rsidR="00D06FE7" w:rsidRDefault="00D06FE7" w:rsidP="00D06FE7">
      <w:pPr>
        <w:spacing w:line="240" w:lineRule="auto"/>
        <w:ind w:firstLineChars="0" w:firstLine="0"/>
        <w:jc w:val="center"/>
        <w:rPr>
          <w:rFonts w:eastAsia="新細明體"/>
          <w:sz w:val="20"/>
          <w:szCs w:val="20"/>
        </w:rPr>
      </w:pPr>
      <w:r>
        <w:rPr>
          <w:rFonts w:eastAsia="新細明體" w:hint="eastAsia"/>
          <w:sz w:val="20"/>
          <w:szCs w:val="20"/>
        </w:rPr>
        <w:t>圖</w:t>
      </w:r>
      <w:r>
        <w:rPr>
          <w:rFonts w:eastAsia="新細明體"/>
          <w:sz w:val="20"/>
          <w:szCs w:val="20"/>
        </w:rPr>
        <w:t xml:space="preserve">11 </w:t>
      </w:r>
      <w:r w:rsidRPr="0046451E">
        <w:rPr>
          <w:rFonts w:eastAsia="新細明體" w:hint="eastAsia"/>
          <w:sz w:val="20"/>
          <w:szCs w:val="20"/>
        </w:rPr>
        <w:t>鉛酸電瓶</w:t>
      </w:r>
      <w:r w:rsidRPr="0046451E">
        <w:rPr>
          <w:rFonts w:eastAsia="新細明體"/>
          <w:sz w:val="20"/>
          <w:szCs w:val="20"/>
        </w:rPr>
        <w:t>(</w:t>
      </w:r>
      <w:r w:rsidRPr="0046451E">
        <w:rPr>
          <w:rFonts w:eastAsia="新細明體" w:hint="eastAsia"/>
          <w:sz w:val="20"/>
          <w:szCs w:val="20"/>
        </w:rPr>
        <w:t>左</w:t>
      </w:r>
      <w:r w:rsidRPr="0046451E">
        <w:rPr>
          <w:rFonts w:eastAsia="新細明體"/>
          <w:sz w:val="20"/>
          <w:szCs w:val="20"/>
        </w:rPr>
        <w:t>)</w:t>
      </w:r>
      <w:r w:rsidRPr="0046451E">
        <w:rPr>
          <w:rFonts w:eastAsia="新細明體" w:hint="eastAsia"/>
          <w:sz w:val="20"/>
          <w:szCs w:val="20"/>
        </w:rPr>
        <w:t>鋰鐵電瓶</w:t>
      </w:r>
      <w:r w:rsidRPr="0046451E">
        <w:rPr>
          <w:rFonts w:eastAsia="新細明體"/>
          <w:sz w:val="20"/>
          <w:szCs w:val="20"/>
        </w:rPr>
        <w:t>(</w:t>
      </w:r>
      <w:r w:rsidRPr="0046451E">
        <w:rPr>
          <w:rFonts w:eastAsia="新細明體" w:hint="eastAsia"/>
          <w:sz w:val="20"/>
          <w:szCs w:val="20"/>
        </w:rPr>
        <w:t>右</w:t>
      </w:r>
      <w:r w:rsidRPr="0046451E">
        <w:rPr>
          <w:rFonts w:eastAsia="新細明體"/>
          <w:sz w:val="20"/>
          <w:szCs w:val="20"/>
        </w:rPr>
        <w:t>)</w:t>
      </w:r>
      <w:r w:rsidRPr="0046451E">
        <w:rPr>
          <w:rFonts w:eastAsia="新細明體" w:hint="eastAsia"/>
          <w:sz w:val="20"/>
          <w:szCs w:val="20"/>
        </w:rPr>
        <w:t>怠速時二次點火波形</w:t>
      </w:r>
    </w:p>
    <w:p w:rsidR="00D06FE7" w:rsidRDefault="00D06FE7" w:rsidP="00D06FE7">
      <w:pPr>
        <w:spacing w:line="240" w:lineRule="auto"/>
        <w:ind w:firstLineChars="0" w:firstLine="0"/>
        <w:jc w:val="center"/>
        <w:rPr>
          <w:rFonts w:eastAsia="新細明體"/>
          <w:sz w:val="20"/>
          <w:szCs w:val="20"/>
        </w:rPr>
      </w:pPr>
      <w:r>
        <w:rPr>
          <w:rFonts w:eastAsia="新細明體"/>
          <w:noProof/>
          <w:sz w:val="20"/>
          <w:szCs w:val="20"/>
        </w:rPr>
        <w:pict>
          <v:shape id="圖片 14" o:spid="_x0000_i1042" type="#_x0000_t75" style="width:211.5pt;height:159pt;visibility:visible">
            <v:imagedata r:id="rId33" o:title=""/>
          </v:shape>
        </w:pict>
      </w:r>
      <w:r>
        <w:rPr>
          <w:rFonts w:eastAsia="新細明體"/>
          <w:noProof/>
          <w:sz w:val="20"/>
          <w:szCs w:val="20"/>
        </w:rPr>
        <w:pict>
          <v:shape id="圖片 15" o:spid="_x0000_i1043" type="#_x0000_t75" style="width:211.5pt;height:159pt;visibility:visible">
            <v:imagedata r:id="rId34" o:title=""/>
          </v:shape>
        </w:pict>
      </w:r>
    </w:p>
    <w:p w:rsidR="00D06FE7" w:rsidRDefault="00D06FE7" w:rsidP="00D06FE7">
      <w:pPr>
        <w:spacing w:line="240" w:lineRule="auto"/>
        <w:ind w:firstLineChars="0" w:firstLine="0"/>
        <w:jc w:val="center"/>
        <w:rPr>
          <w:rFonts w:eastAsia="新細明體"/>
          <w:sz w:val="20"/>
          <w:szCs w:val="20"/>
        </w:rPr>
      </w:pPr>
      <w:r>
        <w:rPr>
          <w:rFonts w:eastAsia="新細明體" w:hint="eastAsia"/>
          <w:sz w:val="20"/>
          <w:szCs w:val="20"/>
        </w:rPr>
        <w:t>圖</w:t>
      </w:r>
      <w:r>
        <w:rPr>
          <w:rFonts w:eastAsia="新細明體"/>
          <w:sz w:val="20"/>
          <w:szCs w:val="20"/>
        </w:rPr>
        <w:t xml:space="preserve">12 </w:t>
      </w:r>
      <w:r w:rsidRPr="0046451E">
        <w:rPr>
          <w:rFonts w:eastAsia="新細明體" w:hint="eastAsia"/>
          <w:sz w:val="20"/>
          <w:szCs w:val="20"/>
        </w:rPr>
        <w:t>鉛酸電瓶</w:t>
      </w:r>
      <w:r w:rsidRPr="0046451E">
        <w:rPr>
          <w:rFonts w:eastAsia="新細明體"/>
          <w:sz w:val="20"/>
          <w:szCs w:val="20"/>
        </w:rPr>
        <w:t>(</w:t>
      </w:r>
      <w:r w:rsidRPr="0046451E">
        <w:rPr>
          <w:rFonts w:eastAsia="新細明體" w:hint="eastAsia"/>
          <w:sz w:val="20"/>
          <w:szCs w:val="20"/>
        </w:rPr>
        <w:t>左</w:t>
      </w:r>
      <w:r w:rsidRPr="0046451E">
        <w:rPr>
          <w:rFonts w:eastAsia="新細明體"/>
          <w:sz w:val="20"/>
          <w:szCs w:val="20"/>
        </w:rPr>
        <w:t>)</w:t>
      </w:r>
      <w:r w:rsidRPr="0046451E">
        <w:rPr>
          <w:rFonts w:eastAsia="新細明體" w:hint="eastAsia"/>
          <w:sz w:val="20"/>
          <w:szCs w:val="20"/>
        </w:rPr>
        <w:t>鋰鐵電瓶</w:t>
      </w:r>
      <w:r w:rsidRPr="0046451E">
        <w:rPr>
          <w:rFonts w:eastAsia="新細明體"/>
          <w:sz w:val="20"/>
          <w:szCs w:val="20"/>
        </w:rPr>
        <w:t>(</w:t>
      </w:r>
      <w:r w:rsidRPr="0046451E">
        <w:rPr>
          <w:rFonts w:eastAsia="新細明體" w:hint="eastAsia"/>
          <w:sz w:val="20"/>
          <w:szCs w:val="20"/>
        </w:rPr>
        <w:t>右</w:t>
      </w:r>
      <w:r w:rsidRPr="0046451E">
        <w:rPr>
          <w:rFonts w:eastAsia="新細明體"/>
          <w:sz w:val="20"/>
          <w:szCs w:val="20"/>
        </w:rPr>
        <w:t>)RPM2000</w:t>
      </w:r>
      <w:r w:rsidRPr="0046451E">
        <w:rPr>
          <w:rFonts w:eastAsia="新細明體" w:hint="eastAsia"/>
          <w:sz w:val="20"/>
          <w:szCs w:val="20"/>
        </w:rPr>
        <w:t>時二次點火波形</w:t>
      </w:r>
    </w:p>
    <w:p w:rsidR="00D06FE7" w:rsidRPr="00DA24CB" w:rsidRDefault="00D06FE7" w:rsidP="00D06FE7">
      <w:pPr>
        <w:spacing w:line="240" w:lineRule="auto"/>
        <w:ind w:firstLineChars="0" w:firstLine="0"/>
        <w:jc w:val="both"/>
        <w:rPr>
          <w:rFonts w:eastAsia="新細明體"/>
          <w:sz w:val="20"/>
          <w:szCs w:val="20"/>
        </w:rPr>
      </w:pPr>
      <w:r w:rsidRPr="0046451E">
        <w:rPr>
          <w:rFonts w:eastAsia="新細明體" w:hint="eastAsia"/>
          <w:b/>
          <w:sz w:val="20"/>
          <w:szCs w:val="20"/>
        </w:rPr>
        <w:t>起動電壓波型分析</w:t>
      </w:r>
    </w:p>
    <w:p w:rsidR="00D06FE7" w:rsidRPr="0046451E" w:rsidRDefault="00D06FE7" w:rsidP="00D06FE7">
      <w:pPr>
        <w:spacing w:line="240" w:lineRule="auto"/>
        <w:ind w:firstLineChars="202" w:firstLine="404"/>
        <w:jc w:val="both"/>
        <w:rPr>
          <w:rFonts w:eastAsia="新細明體"/>
          <w:sz w:val="20"/>
          <w:szCs w:val="20"/>
        </w:rPr>
      </w:pPr>
      <w:r w:rsidRPr="0046451E">
        <w:rPr>
          <w:rFonts w:eastAsia="新細明體" w:hint="eastAsia"/>
          <w:sz w:val="20"/>
          <w:szCs w:val="20"/>
        </w:rPr>
        <w:t>此項實驗是透過起動電壓分析儀，擷取點火開關位於</w:t>
      </w:r>
      <w:r w:rsidRPr="0046451E">
        <w:rPr>
          <w:rFonts w:eastAsia="新細明體"/>
          <w:sz w:val="20"/>
          <w:szCs w:val="20"/>
        </w:rPr>
        <w:t>ST</w:t>
      </w:r>
      <w:r w:rsidRPr="0046451E">
        <w:rPr>
          <w:rFonts w:eastAsia="新細明體" w:hint="eastAsia"/>
          <w:sz w:val="20"/>
          <w:szCs w:val="20"/>
        </w:rPr>
        <w:t>段時，操作起動馬達搖轉引擎起動時，已飽和電瓶的電壓變化與起動引擎到發動所需時間，由於涉及起動搖轉到引擎發動，因此實驗的過程會涵蓋僅由電瓶供電給車輛電器負載，到引擎發動後發電機開始進行充電給電瓶進行電壓平衡與回充，故在測試前須先行設定起動電壓分析儀開始記錄電壓與停止記錄電壓，本實驗將起動電壓分析儀開始記錄電壓設定在</w:t>
      </w:r>
      <w:r w:rsidRPr="0046451E">
        <w:rPr>
          <w:rFonts w:eastAsia="新細明體"/>
          <w:sz w:val="20"/>
          <w:szCs w:val="20"/>
        </w:rPr>
        <w:t>11V</w:t>
      </w:r>
      <w:r w:rsidRPr="0046451E">
        <w:rPr>
          <w:rFonts w:eastAsia="新細明體" w:hint="eastAsia"/>
          <w:sz w:val="20"/>
          <w:szCs w:val="20"/>
        </w:rPr>
        <w:t>與停止記錄電壓設定在</w:t>
      </w:r>
      <w:r w:rsidRPr="0046451E">
        <w:rPr>
          <w:rFonts w:eastAsia="新細明體"/>
          <w:sz w:val="20"/>
          <w:szCs w:val="20"/>
        </w:rPr>
        <w:t>13V</w:t>
      </w:r>
      <w:r w:rsidRPr="0046451E">
        <w:rPr>
          <w:rFonts w:eastAsia="新細明體" w:hint="eastAsia"/>
          <w:sz w:val="20"/>
          <w:szCs w:val="20"/>
        </w:rPr>
        <w:t>。</w:t>
      </w:r>
    </w:p>
    <w:p w:rsidR="00D06FE7" w:rsidRPr="0046451E" w:rsidRDefault="00D06FE7" w:rsidP="00D06FE7">
      <w:pPr>
        <w:spacing w:line="240" w:lineRule="auto"/>
        <w:ind w:firstLineChars="0" w:firstLine="0"/>
        <w:jc w:val="both"/>
        <w:rPr>
          <w:rFonts w:eastAsia="新細明體"/>
          <w:sz w:val="20"/>
          <w:szCs w:val="20"/>
        </w:rPr>
      </w:pPr>
      <w:r w:rsidRPr="0046451E">
        <w:rPr>
          <w:rFonts w:eastAsia="新細明體" w:hint="eastAsia"/>
          <w:sz w:val="20"/>
          <w:szCs w:val="20"/>
        </w:rPr>
        <w:t>鉛酸電瓶起動電壓波形擷取</w:t>
      </w:r>
    </w:p>
    <w:p w:rsidR="00D06FE7" w:rsidRPr="0046451E" w:rsidRDefault="00D06FE7" w:rsidP="00D06FE7">
      <w:pPr>
        <w:spacing w:line="240" w:lineRule="auto"/>
        <w:ind w:firstLine="400"/>
        <w:jc w:val="both"/>
        <w:rPr>
          <w:rFonts w:eastAsia="新細明體"/>
          <w:sz w:val="20"/>
          <w:szCs w:val="20"/>
        </w:rPr>
      </w:pPr>
      <w:r w:rsidRPr="0046451E">
        <w:rPr>
          <w:rFonts w:eastAsia="新細明體" w:hint="eastAsia"/>
          <w:sz w:val="20"/>
          <w:szCs w:val="20"/>
        </w:rPr>
        <w:t>鉛酸電瓶已飽和電壓狀態下，起動前原始電壓為</w:t>
      </w:r>
      <w:r w:rsidRPr="0046451E">
        <w:rPr>
          <w:rFonts w:eastAsia="新細明體"/>
          <w:sz w:val="20"/>
          <w:szCs w:val="20"/>
        </w:rPr>
        <w:t>12.43V</w:t>
      </w:r>
      <w:r w:rsidRPr="0046451E">
        <w:rPr>
          <w:rFonts w:eastAsia="新細明體" w:hint="eastAsia"/>
          <w:sz w:val="20"/>
          <w:szCs w:val="20"/>
        </w:rPr>
        <w:t>，在操作起動馬達搖轉引擎時電壓下降到</w:t>
      </w:r>
      <w:r w:rsidRPr="0046451E">
        <w:rPr>
          <w:rFonts w:eastAsia="新細明體"/>
          <w:sz w:val="20"/>
          <w:szCs w:val="20"/>
        </w:rPr>
        <w:t>9.46V</w:t>
      </w:r>
      <w:r w:rsidRPr="0046451E">
        <w:rPr>
          <w:rFonts w:eastAsia="新細明體" w:hint="eastAsia"/>
          <w:sz w:val="20"/>
          <w:szCs w:val="20"/>
        </w:rPr>
        <w:t>，當回復到停止記錄電壓設定值</w:t>
      </w:r>
      <w:r w:rsidRPr="0046451E">
        <w:rPr>
          <w:rFonts w:eastAsia="新細明體"/>
          <w:sz w:val="20"/>
          <w:szCs w:val="20"/>
        </w:rPr>
        <w:t>13V</w:t>
      </w:r>
      <w:r w:rsidRPr="0046451E">
        <w:rPr>
          <w:rFonts w:eastAsia="新細明體" w:hint="eastAsia"/>
          <w:sz w:val="20"/>
          <w:szCs w:val="20"/>
        </w:rPr>
        <w:t>時，所需起動時間為</w:t>
      </w:r>
      <w:r w:rsidRPr="0046451E">
        <w:rPr>
          <w:rFonts w:eastAsia="新細明體"/>
          <w:sz w:val="20"/>
          <w:szCs w:val="20"/>
        </w:rPr>
        <w:t>0.68sec</w:t>
      </w:r>
      <w:r w:rsidRPr="0046451E">
        <w:rPr>
          <w:rFonts w:eastAsia="新細明體" w:hint="eastAsia"/>
          <w:sz w:val="20"/>
          <w:szCs w:val="20"/>
        </w:rPr>
        <w:t>。</w:t>
      </w:r>
    </w:p>
    <w:p w:rsidR="00D06FE7" w:rsidRPr="0046451E" w:rsidRDefault="00D06FE7" w:rsidP="00D06FE7">
      <w:pPr>
        <w:spacing w:line="240" w:lineRule="auto"/>
        <w:ind w:firstLine="400"/>
        <w:jc w:val="both"/>
        <w:rPr>
          <w:rFonts w:eastAsia="新細明體"/>
          <w:sz w:val="20"/>
          <w:szCs w:val="20"/>
        </w:rPr>
      </w:pPr>
      <w:r w:rsidRPr="0046451E">
        <w:rPr>
          <w:rFonts w:eastAsia="新細明體" w:hint="eastAsia"/>
          <w:sz w:val="20"/>
          <w:szCs w:val="20"/>
        </w:rPr>
        <w:t>鉛酸電瓶中度放電狀態下，將電瓶先行以電流</w:t>
      </w:r>
      <w:r w:rsidRPr="0046451E">
        <w:rPr>
          <w:rFonts w:eastAsia="新細明體"/>
          <w:sz w:val="20"/>
          <w:szCs w:val="20"/>
        </w:rPr>
        <w:t>12A</w:t>
      </w:r>
      <w:r w:rsidRPr="0046451E">
        <w:rPr>
          <w:rFonts w:eastAsia="新細明體" w:hint="eastAsia"/>
          <w:sz w:val="20"/>
          <w:szCs w:val="20"/>
        </w:rPr>
        <w:t>放電</w:t>
      </w:r>
      <w:r w:rsidRPr="0046451E">
        <w:rPr>
          <w:rFonts w:eastAsia="新細明體"/>
          <w:sz w:val="20"/>
          <w:szCs w:val="20"/>
        </w:rPr>
        <w:t>10</w:t>
      </w:r>
      <w:r w:rsidRPr="0046451E">
        <w:rPr>
          <w:rFonts w:eastAsia="新細明體" w:hint="eastAsia"/>
          <w:sz w:val="20"/>
          <w:szCs w:val="20"/>
        </w:rPr>
        <w:t>分鐘方式進行中度放電，起動前原始電壓為</w:t>
      </w:r>
      <w:r w:rsidRPr="0046451E">
        <w:rPr>
          <w:rFonts w:eastAsia="新細明體"/>
          <w:sz w:val="20"/>
          <w:szCs w:val="20"/>
        </w:rPr>
        <w:t>12V</w:t>
      </w:r>
      <w:r w:rsidRPr="0046451E">
        <w:rPr>
          <w:rFonts w:eastAsia="新細明體" w:hint="eastAsia"/>
          <w:sz w:val="20"/>
          <w:szCs w:val="20"/>
        </w:rPr>
        <w:t>，在操作起動馬達搖轉引擎時電壓下降到</w:t>
      </w:r>
      <w:r w:rsidRPr="0046451E">
        <w:rPr>
          <w:rFonts w:eastAsia="新細明體"/>
          <w:sz w:val="20"/>
          <w:szCs w:val="20"/>
        </w:rPr>
        <w:t>9.16V</w:t>
      </w:r>
      <w:r w:rsidRPr="0046451E">
        <w:rPr>
          <w:rFonts w:eastAsia="新細明體" w:hint="eastAsia"/>
          <w:sz w:val="20"/>
          <w:szCs w:val="20"/>
        </w:rPr>
        <w:t>，當回復到停止記錄電壓設定值</w:t>
      </w:r>
      <w:r w:rsidRPr="0046451E">
        <w:rPr>
          <w:rFonts w:eastAsia="新細明體"/>
          <w:sz w:val="20"/>
          <w:szCs w:val="20"/>
        </w:rPr>
        <w:t>13V</w:t>
      </w:r>
      <w:r w:rsidRPr="0046451E">
        <w:rPr>
          <w:rFonts w:eastAsia="新細明體" w:hint="eastAsia"/>
          <w:sz w:val="20"/>
          <w:szCs w:val="20"/>
        </w:rPr>
        <w:t>時，所需起</w:t>
      </w:r>
      <w:r w:rsidRPr="0046451E">
        <w:rPr>
          <w:rFonts w:eastAsia="新細明體" w:hint="eastAsia"/>
          <w:sz w:val="20"/>
          <w:szCs w:val="20"/>
        </w:rPr>
        <w:lastRenderedPageBreak/>
        <w:t>動時間為</w:t>
      </w:r>
      <w:r w:rsidRPr="0046451E">
        <w:rPr>
          <w:rFonts w:eastAsia="新細明體"/>
          <w:sz w:val="20"/>
          <w:szCs w:val="20"/>
        </w:rPr>
        <w:t>0.77sec</w:t>
      </w:r>
      <w:r w:rsidRPr="0046451E">
        <w:rPr>
          <w:rFonts w:eastAsia="新細明體" w:hint="eastAsia"/>
          <w:sz w:val="20"/>
          <w:szCs w:val="20"/>
        </w:rPr>
        <w:t>。</w:t>
      </w:r>
      <w:r>
        <w:rPr>
          <w:rFonts w:eastAsia="新細明體" w:hint="eastAsia"/>
          <w:sz w:val="20"/>
          <w:szCs w:val="20"/>
        </w:rPr>
        <w:t>如圖</w:t>
      </w:r>
      <w:r>
        <w:rPr>
          <w:rFonts w:eastAsia="新細明體"/>
          <w:sz w:val="20"/>
          <w:szCs w:val="20"/>
        </w:rPr>
        <w:t>13</w:t>
      </w:r>
      <w:r>
        <w:rPr>
          <w:rFonts w:eastAsia="新細明體" w:hint="eastAsia"/>
          <w:sz w:val="20"/>
          <w:szCs w:val="20"/>
        </w:rPr>
        <w:t>。</w:t>
      </w:r>
    </w:p>
    <w:p w:rsidR="00D06FE7" w:rsidRPr="0046451E" w:rsidRDefault="00D06FE7" w:rsidP="00D06FE7">
      <w:pPr>
        <w:spacing w:line="240" w:lineRule="auto"/>
        <w:ind w:firstLineChars="0" w:firstLine="0"/>
        <w:jc w:val="both"/>
        <w:rPr>
          <w:rFonts w:eastAsia="新細明體"/>
          <w:sz w:val="20"/>
          <w:szCs w:val="20"/>
        </w:rPr>
      </w:pPr>
      <w:r w:rsidRPr="0046451E">
        <w:rPr>
          <w:rFonts w:eastAsia="新細明體" w:hint="eastAsia"/>
          <w:sz w:val="20"/>
          <w:szCs w:val="20"/>
        </w:rPr>
        <w:t>鋰鐵電瓶起動電壓波形擷取</w:t>
      </w:r>
    </w:p>
    <w:p w:rsidR="00D06FE7" w:rsidRPr="0046451E" w:rsidRDefault="00D06FE7" w:rsidP="00D06FE7">
      <w:pPr>
        <w:spacing w:line="240" w:lineRule="auto"/>
        <w:ind w:firstLine="400"/>
        <w:jc w:val="both"/>
        <w:rPr>
          <w:rFonts w:eastAsia="新細明體"/>
          <w:sz w:val="20"/>
          <w:szCs w:val="20"/>
        </w:rPr>
      </w:pPr>
      <w:r w:rsidRPr="0046451E">
        <w:rPr>
          <w:rFonts w:eastAsia="新細明體" w:hint="eastAsia"/>
          <w:sz w:val="20"/>
          <w:szCs w:val="20"/>
        </w:rPr>
        <w:t>鋰鐵電瓶已飽和電壓狀態下，起動前原始電壓為</w:t>
      </w:r>
      <w:r w:rsidRPr="0046451E">
        <w:rPr>
          <w:rFonts w:eastAsia="新細明體"/>
          <w:sz w:val="20"/>
          <w:szCs w:val="20"/>
        </w:rPr>
        <w:t>13.88V</w:t>
      </w:r>
      <w:r w:rsidRPr="0046451E">
        <w:rPr>
          <w:rFonts w:eastAsia="新細明體" w:hint="eastAsia"/>
          <w:sz w:val="20"/>
          <w:szCs w:val="20"/>
        </w:rPr>
        <w:t>，在操作起動馬達搖轉引擎時電壓下降到</w:t>
      </w:r>
      <w:r w:rsidRPr="0046451E">
        <w:rPr>
          <w:rFonts w:eastAsia="新細明體"/>
          <w:sz w:val="20"/>
          <w:szCs w:val="20"/>
        </w:rPr>
        <w:t>11.14V</w:t>
      </w:r>
      <w:r w:rsidRPr="0046451E">
        <w:rPr>
          <w:rFonts w:eastAsia="新細明體" w:hint="eastAsia"/>
          <w:sz w:val="20"/>
          <w:szCs w:val="20"/>
        </w:rPr>
        <w:t>，當回復到停止記錄電壓設定值</w:t>
      </w:r>
      <w:r w:rsidRPr="0046451E">
        <w:rPr>
          <w:rFonts w:eastAsia="新細明體"/>
          <w:sz w:val="20"/>
          <w:szCs w:val="20"/>
        </w:rPr>
        <w:t>13V</w:t>
      </w:r>
      <w:r w:rsidRPr="0046451E">
        <w:rPr>
          <w:rFonts w:eastAsia="新細明體" w:hint="eastAsia"/>
          <w:sz w:val="20"/>
          <w:szCs w:val="20"/>
        </w:rPr>
        <w:t>時，所需起動時間為</w:t>
      </w:r>
      <w:r w:rsidRPr="0046451E">
        <w:rPr>
          <w:rFonts w:eastAsia="新細明體"/>
          <w:sz w:val="20"/>
          <w:szCs w:val="20"/>
        </w:rPr>
        <w:t>0.46sec</w:t>
      </w:r>
      <w:r w:rsidRPr="0046451E">
        <w:rPr>
          <w:rFonts w:eastAsia="新細明體" w:hint="eastAsia"/>
          <w:sz w:val="20"/>
          <w:szCs w:val="20"/>
        </w:rPr>
        <w:t>。</w:t>
      </w:r>
    </w:p>
    <w:p w:rsidR="00D06FE7" w:rsidRDefault="00D06FE7" w:rsidP="00D06FE7">
      <w:pPr>
        <w:spacing w:line="240" w:lineRule="auto"/>
        <w:ind w:firstLine="400"/>
        <w:jc w:val="both"/>
        <w:rPr>
          <w:rFonts w:eastAsia="新細明體"/>
          <w:sz w:val="20"/>
          <w:szCs w:val="20"/>
        </w:rPr>
      </w:pPr>
      <w:r w:rsidRPr="0046451E">
        <w:rPr>
          <w:rFonts w:eastAsia="新細明體" w:hint="eastAsia"/>
          <w:sz w:val="20"/>
          <w:szCs w:val="20"/>
        </w:rPr>
        <w:t>鋰鐵電瓶中度放電狀態下，將電瓶先行以電流</w:t>
      </w:r>
      <w:r w:rsidRPr="0046451E">
        <w:rPr>
          <w:rFonts w:eastAsia="新細明體"/>
          <w:sz w:val="20"/>
          <w:szCs w:val="20"/>
        </w:rPr>
        <w:t>12A</w:t>
      </w:r>
      <w:r w:rsidRPr="0046451E">
        <w:rPr>
          <w:rFonts w:eastAsia="新細明體" w:hint="eastAsia"/>
          <w:sz w:val="20"/>
          <w:szCs w:val="20"/>
        </w:rPr>
        <w:t>放電</w:t>
      </w:r>
      <w:r w:rsidRPr="0046451E">
        <w:rPr>
          <w:rFonts w:eastAsia="新細明體"/>
          <w:sz w:val="20"/>
          <w:szCs w:val="20"/>
        </w:rPr>
        <w:t>10</w:t>
      </w:r>
      <w:r w:rsidRPr="0046451E">
        <w:rPr>
          <w:rFonts w:eastAsia="新細明體" w:hint="eastAsia"/>
          <w:sz w:val="20"/>
          <w:szCs w:val="20"/>
        </w:rPr>
        <w:t>分鐘方式進行中度放電，起動前原始電壓為</w:t>
      </w:r>
      <w:r w:rsidRPr="0046451E">
        <w:rPr>
          <w:rFonts w:eastAsia="新細明體"/>
          <w:sz w:val="20"/>
          <w:szCs w:val="20"/>
        </w:rPr>
        <w:t>13.2V</w:t>
      </w:r>
      <w:r w:rsidRPr="0046451E">
        <w:rPr>
          <w:rFonts w:eastAsia="新細明體" w:hint="eastAsia"/>
          <w:sz w:val="20"/>
          <w:szCs w:val="20"/>
        </w:rPr>
        <w:t>，在操作起動馬達搖轉引擎時電壓下降到</w:t>
      </w:r>
      <w:r w:rsidRPr="0046451E">
        <w:rPr>
          <w:rFonts w:eastAsia="新細明體"/>
          <w:sz w:val="20"/>
          <w:szCs w:val="20"/>
        </w:rPr>
        <w:t>10.44V</w:t>
      </w:r>
      <w:r w:rsidRPr="0046451E">
        <w:rPr>
          <w:rFonts w:eastAsia="新細明體" w:hint="eastAsia"/>
          <w:sz w:val="20"/>
          <w:szCs w:val="20"/>
        </w:rPr>
        <w:t>，當回復到停止記錄電壓設定值</w:t>
      </w:r>
      <w:r w:rsidRPr="0046451E">
        <w:rPr>
          <w:rFonts w:eastAsia="新細明體"/>
          <w:sz w:val="20"/>
          <w:szCs w:val="20"/>
        </w:rPr>
        <w:t>13V</w:t>
      </w:r>
      <w:r w:rsidRPr="0046451E">
        <w:rPr>
          <w:rFonts w:eastAsia="新細明體" w:hint="eastAsia"/>
          <w:sz w:val="20"/>
          <w:szCs w:val="20"/>
        </w:rPr>
        <w:t>時，所需起動時間為</w:t>
      </w:r>
      <w:r w:rsidRPr="0046451E">
        <w:rPr>
          <w:rFonts w:eastAsia="新細明體"/>
          <w:sz w:val="20"/>
          <w:szCs w:val="20"/>
        </w:rPr>
        <w:t>0.46sec</w:t>
      </w:r>
      <w:r w:rsidRPr="0046451E">
        <w:rPr>
          <w:rFonts w:eastAsia="新細明體" w:hint="eastAsia"/>
          <w:sz w:val="20"/>
          <w:szCs w:val="20"/>
        </w:rPr>
        <w:t>。</w:t>
      </w:r>
      <w:r>
        <w:rPr>
          <w:rFonts w:eastAsia="新細明體" w:hint="eastAsia"/>
          <w:sz w:val="20"/>
          <w:szCs w:val="20"/>
        </w:rPr>
        <w:t>如圖</w:t>
      </w:r>
      <w:r>
        <w:rPr>
          <w:rFonts w:eastAsia="新細明體"/>
          <w:sz w:val="20"/>
          <w:szCs w:val="20"/>
        </w:rPr>
        <w:t>14</w:t>
      </w:r>
      <w:r>
        <w:rPr>
          <w:rFonts w:eastAsia="新細明體" w:hint="eastAsia"/>
          <w:sz w:val="20"/>
          <w:szCs w:val="20"/>
        </w:rPr>
        <w:t>。</w:t>
      </w:r>
    </w:p>
    <w:p w:rsidR="00D06FE7" w:rsidRDefault="00D06FE7" w:rsidP="00D06FE7">
      <w:pPr>
        <w:spacing w:line="240" w:lineRule="auto"/>
        <w:ind w:firstLineChars="0" w:firstLine="0"/>
        <w:jc w:val="center"/>
        <w:rPr>
          <w:rFonts w:eastAsia="新細明體"/>
          <w:sz w:val="20"/>
          <w:szCs w:val="20"/>
        </w:rPr>
      </w:pPr>
      <w:r>
        <w:rPr>
          <w:rFonts w:eastAsia="新細明體"/>
          <w:noProof/>
          <w:sz w:val="20"/>
          <w:szCs w:val="20"/>
        </w:rPr>
        <w:pict>
          <v:shape id="圖片 16" o:spid="_x0000_i1044" type="#_x0000_t75" style="width:204.75pt;height:148.5pt;visibility:visible">
            <v:imagedata r:id="rId35" o:title=""/>
          </v:shape>
        </w:pict>
      </w:r>
      <w:r>
        <w:rPr>
          <w:rFonts w:eastAsia="新細明體"/>
          <w:noProof/>
          <w:sz w:val="20"/>
          <w:szCs w:val="20"/>
        </w:rPr>
        <w:pict>
          <v:shape id="圖片 17" o:spid="_x0000_i1045" type="#_x0000_t75" style="width:189pt;height:149.25pt;visibility:visible">
            <v:imagedata r:id="rId36" o:title=""/>
          </v:shape>
        </w:pict>
      </w:r>
    </w:p>
    <w:p w:rsidR="00D06FE7" w:rsidRDefault="00D06FE7" w:rsidP="00D06FE7">
      <w:pPr>
        <w:spacing w:line="240" w:lineRule="auto"/>
        <w:ind w:firstLineChars="0" w:firstLine="0"/>
        <w:jc w:val="center"/>
        <w:rPr>
          <w:rFonts w:eastAsia="新細明體"/>
          <w:sz w:val="20"/>
          <w:szCs w:val="20"/>
        </w:rPr>
      </w:pPr>
      <w:r>
        <w:rPr>
          <w:rFonts w:eastAsia="新細明體" w:hint="eastAsia"/>
          <w:sz w:val="20"/>
          <w:szCs w:val="20"/>
        </w:rPr>
        <w:t>圖</w:t>
      </w:r>
      <w:r>
        <w:rPr>
          <w:rFonts w:eastAsia="新細明體"/>
          <w:sz w:val="20"/>
          <w:szCs w:val="20"/>
        </w:rPr>
        <w:t xml:space="preserve">13 </w:t>
      </w:r>
      <w:r>
        <w:rPr>
          <w:rFonts w:eastAsia="新細明體" w:hint="eastAsia"/>
          <w:sz w:val="20"/>
          <w:szCs w:val="20"/>
        </w:rPr>
        <w:t>鉛酸電池起動電壓波形擷取</w:t>
      </w:r>
    </w:p>
    <w:p w:rsidR="00D06FE7" w:rsidRDefault="00D06FE7" w:rsidP="00D06FE7">
      <w:pPr>
        <w:spacing w:line="240" w:lineRule="auto"/>
        <w:ind w:firstLineChars="0" w:firstLine="0"/>
        <w:jc w:val="center"/>
        <w:rPr>
          <w:rFonts w:eastAsia="新細明體"/>
          <w:sz w:val="20"/>
          <w:szCs w:val="20"/>
        </w:rPr>
      </w:pPr>
      <w:r>
        <w:rPr>
          <w:rFonts w:eastAsia="新細明體"/>
          <w:noProof/>
          <w:sz w:val="20"/>
          <w:szCs w:val="20"/>
        </w:rPr>
        <w:pict>
          <v:shape id="圖片 18" o:spid="_x0000_i1046" type="#_x0000_t75" style="width:193.5pt;height:152.25pt;visibility:visible">
            <v:imagedata r:id="rId37" o:title=""/>
          </v:shape>
        </w:pict>
      </w:r>
      <w:r>
        <w:rPr>
          <w:rFonts w:eastAsia="新細明體"/>
          <w:noProof/>
          <w:sz w:val="20"/>
          <w:szCs w:val="20"/>
        </w:rPr>
        <w:pict>
          <v:shape id="圖片 19" o:spid="_x0000_i1047" type="#_x0000_t75" style="width:198pt;height:150pt;visibility:visible">
            <v:imagedata r:id="rId38" o:title=""/>
          </v:shape>
        </w:pict>
      </w:r>
    </w:p>
    <w:p w:rsidR="00D06FE7" w:rsidRDefault="00D06FE7" w:rsidP="00D06FE7">
      <w:pPr>
        <w:spacing w:line="240" w:lineRule="auto"/>
        <w:ind w:firstLineChars="0" w:firstLine="0"/>
        <w:jc w:val="center"/>
        <w:rPr>
          <w:rFonts w:eastAsia="新細明體"/>
          <w:sz w:val="20"/>
          <w:szCs w:val="20"/>
        </w:rPr>
      </w:pPr>
      <w:r>
        <w:rPr>
          <w:rFonts w:eastAsia="新細明體" w:hint="eastAsia"/>
          <w:sz w:val="20"/>
          <w:szCs w:val="20"/>
        </w:rPr>
        <w:t>圖</w:t>
      </w:r>
      <w:r>
        <w:rPr>
          <w:rFonts w:eastAsia="新細明體"/>
          <w:sz w:val="20"/>
          <w:szCs w:val="20"/>
        </w:rPr>
        <w:t xml:space="preserve">14 </w:t>
      </w:r>
      <w:r>
        <w:rPr>
          <w:rFonts w:eastAsia="新細明體" w:hint="eastAsia"/>
          <w:sz w:val="20"/>
          <w:szCs w:val="20"/>
        </w:rPr>
        <w:t>鋰鐵電池起動電壓波形擷取</w:t>
      </w:r>
    </w:p>
    <w:p w:rsidR="00D06FE7" w:rsidRPr="0046451E" w:rsidRDefault="00D06FE7" w:rsidP="00D06FE7">
      <w:pPr>
        <w:spacing w:line="240" w:lineRule="auto"/>
        <w:ind w:firstLineChars="202" w:firstLine="404"/>
        <w:jc w:val="both"/>
        <w:rPr>
          <w:rFonts w:eastAsia="新細明體"/>
          <w:sz w:val="20"/>
          <w:szCs w:val="20"/>
        </w:rPr>
      </w:pPr>
      <w:r w:rsidRPr="0046451E">
        <w:rPr>
          <w:rFonts w:eastAsia="新細明體" w:hint="eastAsia"/>
          <w:sz w:val="20"/>
          <w:szCs w:val="20"/>
        </w:rPr>
        <w:t>實驗結果一顯示，比較分析使用鉛酸電瓶與鋰鐵電瓶之車輛，在飽和電壓狀態進行起動電壓降與時間測試，鋰鐵電瓶起動時間縮短</w:t>
      </w:r>
      <w:r w:rsidRPr="0046451E">
        <w:rPr>
          <w:rFonts w:eastAsia="新細明體"/>
          <w:sz w:val="20"/>
          <w:szCs w:val="20"/>
        </w:rPr>
        <w:t>0.2</w:t>
      </w:r>
      <w:r w:rsidRPr="0046451E">
        <w:rPr>
          <w:rFonts w:eastAsia="新細明體" w:hint="eastAsia"/>
          <w:sz w:val="20"/>
          <w:szCs w:val="20"/>
        </w:rPr>
        <w:t>秒，在整體起動時間</w:t>
      </w:r>
      <w:r w:rsidRPr="0046451E">
        <w:rPr>
          <w:rFonts w:eastAsia="新細明體"/>
          <w:sz w:val="20"/>
          <w:szCs w:val="20"/>
        </w:rPr>
        <w:t>0.46~0.68</w:t>
      </w:r>
      <w:r w:rsidRPr="0046451E">
        <w:rPr>
          <w:rFonts w:eastAsia="新細明體" w:hint="eastAsia"/>
          <w:sz w:val="20"/>
          <w:szCs w:val="20"/>
        </w:rPr>
        <w:t>秒的時間內，兩者起動效率相差達</w:t>
      </w:r>
      <w:r w:rsidRPr="0046451E">
        <w:rPr>
          <w:rFonts w:eastAsia="新細明體"/>
          <w:sz w:val="20"/>
          <w:szCs w:val="20"/>
        </w:rPr>
        <w:t>48%</w:t>
      </w:r>
      <w:r w:rsidRPr="0046451E">
        <w:rPr>
          <w:rFonts w:eastAsia="新細明體" w:hint="eastAsia"/>
          <w:sz w:val="20"/>
          <w:szCs w:val="20"/>
        </w:rPr>
        <w:t>，在整體起動時電壓降鉛酸電瓶維持在</w:t>
      </w:r>
      <w:r w:rsidRPr="0046451E">
        <w:rPr>
          <w:rFonts w:eastAsia="新細明體"/>
          <w:sz w:val="20"/>
          <w:szCs w:val="20"/>
        </w:rPr>
        <w:t>2.97V</w:t>
      </w:r>
      <w:r w:rsidRPr="0046451E">
        <w:rPr>
          <w:rFonts w:eastAsia="新細明體" w:hint="eastAsia"/>
          <w:sz w:val="20"/>
          <w:szCs w:val="20"/>
        </w:rPr>
        <w:t>，但最低起動電壓明顯低於標準</w:t>
      </w:r>
      <w:r w:rsidRPr="0046451E">
        <w:rPr>
          <w:rFonts w:eastAsia="新細明體"/>
          <w:sz w:val="20"/>
          <w:szCs w:val="20"/>
        </w:rPr>
        <w:t>9.6V</w:t>
      </w:r>
      <w:r w:rsidRPr="0046451E">
        <w:rPr>
          <w:rFonts w:eastAsia="新細明體" w:hint="eastAsia"/>
          <w:sz w:val="20"/>
          <w:szCs w:val="20"/>
        </w:rPr>
        <w:t>；鋰鐵電瓶電壓降為</w:t>
      </w:r>
      <w:r w:rsidRPr="0046451E">
        <w:rPr>
          <w:rFonts w:eastAsia="新細明體"/>
          <w:sz w:val="20"/>
          <w:szCs w:val="20"/>
        </w:rPr>
        <w:t>2.74V</w:t>
      </w:r>
      <w:r w:rsidRPr="0046451E">
        <w:rPr>
          <w:rFonts w:eastAsia="新細明體" w:hint="eastAsia"/>
          <w:sz w:val="20"/>
          <w:szCs w:val="20"/>
        </w:rPr>
        <w:t>，且最低起動時電壓可保持在</w:t>
      </w:r>
      <w:r w:rsidRPr="0046451E">
        <w:rPr>
          <w:rFonts w:eastAsia="新細明體"/>
          <w:sz w:val="20"/>
          <w:szCs w:val="20"/>
        </w:rPr>
        <w:t>11.14V</w:t>
      </w:r>
      <w:r w:rsidRPr="0046451E">
        <w:rPr>
          <w:rFonts w:eastAsia="新細明體" w:hint="eastAsia"/>
          <w:sz w:val="20"/>
          <w:szCs w:val="20"/>
        </w:rPr>
        <w:t>。本測試模式電瓶為飽和狀態，因此在飽和狀態下操作起動馬達，鋰鐵電瓶保有更高的最低起動電壓值與起動效率，鉛酸與鋰鐵電瓶在起動電壓降與時間有顯著差異。</w:t>
      </w:r>
    </w:p>
    <w:p w:rsidR="00D06FE7" w:rsidRPr="0046451E" w:rsidRDefault="00D06FE7" w:rsidP="00D06FE7">
      <w:pPr>
        <w:spacing w:line="240" w:lineRule="auto"/>
        <w:ind w:firstLineChars="202" w:firstLine="404"/>
        <w:jc w:val="both"/>
        <w:rPr>
          <w:rFonts w:eastAsia="新細明體"/>
          <w:sz w:val="20"/>
          <w:szCs w:val="20"/>
        </w:rPr>
      </w:pPr>
      <w:r w:rsidRPr="0046451E">
        <w:rPr>
          <w:rFonts w:eastAsia="新細明體" w:hint="eastAsia"/>
          <w:sz w:val="20"/>
          <w:szCs w:val="20"/>
        </w:rPr>
        <w:t>實驗結果二顯示，比較分析使用鉛酸電瓶與鋰鐵電瓶之車輛，在中度放電後進行起動電壓降與時間測試，鋰鐵電瓶之起動時間可縮短</w:t>
      </w:r>
      <w:r w:rsidRPr="0046451E">
        <w:rPr>
          <w:rFonts w:eastAsia="新細明體"/>
          <w:sz w:val="20"/>
          <w:szCs w:val="20"/>
        </w:rPr>
        <w:t>0.32</w:t>
      </w:r>
      <w:r w:rsidRPr="0046451E">
        <w:rPr>
          <w:rFonts w:eastAsia="新細明體" w:hint="eastAsia"/>
          <w:sz w:val="20"/>
          <w:szCs w:val="20"/>
        </w:rPr>
        <w:t>秒，在整體起動時間</w:t>
      </w:r>
      <w:r w:rsidRPr="0046451E">
        <w:rPr>
          <w:rFonts w:eastAsia="新細明體"/>
          <w:sz w:val="20"/>
          <w:szCs w:val="20"/>
        </w:rPr>
        <w:t>0.45~0.77</w:t>
      </w:r>
      <w:r w:rsidRPr="0046451E">
        <w:rPr>
          <w:rFonts w:eastAsia="新細明體" w:hint="eastAsia"/>
          <w:sz w:val="20"/>
          <w:szCs w:val="20"/>
        </w:rPr>
        <w:t>秒的時間內，兩者起動效率相差達</w:t>
      </w:r>
      <w:r w:rsidRPr="0046451E">
        <w:rPr>
          <w:rFonts w:eastAsia="新細明體"/>
          <w:sz w:val="20"/>
          <w:szCs w:val="20"/>
        </w:rPr>
        <w:t>41.56%</w:t>
      </w:r>
      <w:r w:rsidRPr="0046451E">
        <w:rPr>
          <w:rFonts w:eastAsia="新細明體" w:hint="eastAsia"/>
          <w:sz w:val="20"/>
          <w:szCs w:val="20"/>
        </w:rPr>
        <w:t>，在整體起動時電壓降鉛酸電瓶維持在</w:t>
      </w:r>
      <w:r w:rsidRPr="0046451E">
        <w:rPr>
          <w:rFonts w:eastAsia="新細明體"/>
          <w:sz w:val="20"/>
          <w:szCs w:val="20"/>
        </w:rPr>
        <w:t>2.85V</w:t>
      </w:r>
      <w:r w:rsidRPr="0046451E">
        <w:rPr>
          <w:rFonts w:eastAsia="新細明體" w:hint="eastAsia"/>
          <w:sz w:val="20"/>
          <w:szCs w:val="20"/>
        </w:rPr>
        <w:t>，但最低起動電壓明顯低於標準</w:t>
      </w:r>
      <w:r w:rsidRPr="0046451E">
        <w:rPr>
          <w:rFonts w:eastAsia="新細明體"/>
          <w:sz w:val="20"/>
          <w:szCs w:val="20"/>
        </w:rPr>
        <w:t>9.16V</w:t>
      </w:r>
      <w:r w:rsidRPr="0046451E">
        <w:rPr>
          <w:rFonts w:eastAsia="新細明體" w:hint="eastAsia"/>
          <w:sz w:val="20"/>
          <w:szCs w:val="20"/>
        </w:rPr>
        <w:t>；鋰鐵電瓶電壓降為</w:t>
      </w:r>
      <w:r w:rsidRPr="0046451E">
        <w:rPr>
          <w:rFonts w:eastAsia="新細明體"/>
          <w:sz w:val="20"/>
          <w:szCs w:val="20"/>
        </w:rPr>
        <w:t>2.14V</w:t>
      </w:r>
      <w:r w:rsidRPr="0046451E">
        <w:rPr>
          <w:rFonts w:eastAsia="新細明體" w:hint="eastAsia"/>
          <w:sz w:val="20"/>
          <w:szCs w:val="20"/>
        </w:rPr>
        <w:t>，且最低起動時電壓可保持在</w:t>
      </w:r>
      <w:r w:rsidRPr="0046451E">
        <w:rPr>
          <w:rFonts w:eastAsia="新細明體"/>
          <w:sz w:val="20"/>
          <w:szCs w:val="20"/>
        </w:rPr>
        <w:t>11.01V</w:t>
      </w:r>
      <w:r w:rsidRPr="0046451E">
        <w:rPr>
          <w:rFonts w:eastAsia="新細明體" w:hint="eastAsia"/>
          <w:sz w:val="20"/>
          <w:szCs w:val="20"/>
        </w:rPr>
        <w:t>。本測試模式電瓶為飽和狀態，因此在中度放電狀態下操作起動馬達，鋰鐵電瓶保有更高的最低起動電壓值與起動效率，鉛酸與鋰鐵電瓶在起動電壓降與時間有顯著差異。</w:t>
      </w:r>
    </w:p>
    <w:p w:rsidR="00D06FE7" w:rsidRPr="0046451E" w:rsidRDefault="00D06FE7" w:rsidP="00D06FE7">
      <w:pPr>
        <w:spacing w:line="240" w:lineRule="auto"/>
        <w:ind w:firstLineChars="202" w:firstLine="404"/>
        <w:jc w:val="both"/>
        <w:rPr>
          <w:rFonts w:eastAsia="新細明體"/>
          <w:sz w:val="20"/>
          <w:szCs w:val="20"/>
        </w:rPr>
      </w:pPr>
      <w:r w:rsidRPr="0046451E">
        <w:rPr>
          <w:rFonts w:eastAsia="新細明體" w:hint="eastAsia"/>
          <w:sz w:val="20"/>
          <w:szCs w:val="20"/>
        </w:rPr>
        <w:lastRenderedPageBreak/>
        <w:t>另實驗結果亦顯示，使用鉛酸電瓶之車輛，在飽和狀態與中度放電後進行起動電壓降與時間測試，鉛酸電瓶之起動時間增加</w:t>
      </w:r>
      <w:r w:rsidRPr="0046451E">
        <w:rPr>
          <w:rFonts w:eastAsia="新細明體"/>
          <w:sz w:val="20"/>
          <w:szCs w:val="20"/>
        </w:rPr>
        <w:t>0.09</w:t>
      </w:r>
      <w:r w:rsidRPr="0046451E">
        <w:rPr>
          <w:rFonts w:eastAsia="新細明體" w:hint="eastAsia"/>
          <w:sz w:val="20"/>
          <w:szCs w:val="20"/>
        </w:rPr>
        <w:t>秒，在起動時電壓降上減少</w:t>
      </w:r>
      <w:r w:rsidRPr="0046451E">
        <w:rPr>
          <w:rFonts w:eastAsia="新細明體"/>
          <w:sz w:val="20"/>
          <w:szCs w:val="20"/>
        </w:rPr>
        <w:t>0.12V</w:t>
      </w:r>
      <w:r w:rsidRPr="0046451E">
        <w:rPr>
          <w:rFonts w:eastAsia="新細明體" w:hint="eastAsia"/>
          <w:sz w:val="20"/>
          <w:szCs w:val="20"/>
        </w:rPr>
        <w:t>，顯然在有放電狀態與飽和狀態鉛酸電瓶的起動時間會逐步增加，起動電壓降減少不明顯，但最低起動電壓值偏低，且低於一般標準值。</w:t>
      </w:r>
    </w:p>
    <w:p w:rsidR="00D06FE7" w:rsidRPr="0046451E" w:rsidRDefault="00D06FE7" w:rsidP="00D06FE7">
      <w:pPr>
        <w:spacing w:line="240" w:lineRule="auto"/>
        <w:ind w:firstLineChars="202" w:firstLine="404"/>
        <w:jc w:val="both"/>
        <w:rPr>
          <w:rFonts w:eastAsia="新細明體"/>
          <w:sz w:val="20"/>
          <w:szCs w:val="20"/>
        </w:rPr>
      </w:pPr>
      <w:r w:rsidRPr="0046451E">
        <w:rPr>
          <w:rFonts w:eastAsia="新細明體" w:hint="eastAsia"/>
          <w:sz w:val="20"/>
          <w:szCs w:val="20"/>
        </w:rPr>
        <w:t>使用鋰鐵電瓶之車輛，在飽和狀態與中度放電後進行起動電壓降與時間測試，中度放電後鋰鐵電瓶之起動時間縮短</w:t>
      </w:r>
      <w:r w:rsidRPr="0046451E">
        <w:rPr>
          <w:rFonts w:eastAsia="新細明體"/>
          <w:sz w:val="20"/>
          <w:szCs w:val="20"/>
        </w:rPr>
        <w:t>0.01</w:t>
      </w:r>
      <w:r w:rsidRPr="0046451E">
        <w:rPr>
          <w:rFonts w:eastAsia="新細明體" w:hint="eastAsia"/>
          <w:sz w:val="20"/>
          <w:szCs w:val="20"/>
        </w:rPr>
        <w:t>秒，在起動時電壓降上減少</w:t>
      </w:r>
      <w:r w:rsidRPr="0046451E">
        <w:rPr>
          <w:rFonts w:eastAsia="新細明體"/>
          <w:sz w:val="20"/>
          <w:szCs w:val="20"/>
        </w:rPr>
        <w:t>0.6V</w:t>
      </w:r>
      <w:r w:rsidRPr="0046451E">
        <w:rPr>
          <w:rFonts w:eastAsia="新細明體" w:hint="eastAsia"/>
          <w:sz w:val="20"/>
          <w:szCs w:val="20"/>
        </w:rPr>
        <w:t>，顯然在有放電狀態與飽和狀態鉛酸電瓶的起動時間並不會顯著增加，放電後起動電壓降降低，且最低起動電壓值高於一般標準值，長期放電反覆使用下鉛酸電瓶之衰減顯然高於鋰鐵電瓶。使用鋰鐵電瓶因瞬間輸出能量較大，使起動馬達帶動引擎飛輪轉速較快，讓引擎較能快速起動，除此之外也能延長起動馬達之壽命。</w:t>
      </w:r>
    </w:p>
    <w:p w:rsidR="00D06FE7" w:rsidRPr="0046451E" w:rsidRDefault="00D06FE7" w:rsidP="00D06FE7">
      <w:pPr>
        <w:spacing w:line="240" w:lineRule="auto"/>
        <w:ind w:firstLineChars="202" w:firstLine="404"/>
        <w:jc w:val="both"/>
        <w:rPr>
          <w:rFonts w:eastAsia="新細明體"/>
          <w:sz w:val="20"/>
          <w:szCs w:val="20"/>
        </w:rPr>
      </w:pPr>
      <w:r w:rsidRPr="0046451E">
        <w:rPr>
          <w:rFonts w:eastAsia="新細明體" w:hint="eastAsia"/>
          <w:sz w:val="20"/>
          <w:szCs w:val="20"/>
        </w:rPr>
        <w:t>時在本研究起動時間呈現如表</w:t>
      </w:r>
      <w:r w:rsidRPr="0046451E">
        <w:rPr>
          <w:rFonts w:eastAsia="新細明體"/>
          <w:sz w:val="20"/>
          <w:szCs w:val="20"/>
        </w:rPr>
        <w:t>5</w:t>
      </w:r>
      <w:r w:rsidRPr="0046451E">
        <w:rPr>
          <w:rFonts w:eastAsia="新細明體" w:hint="eastAsia"/>
          <w:sz w:val="20"/>
          <w:szCs w:val="20"/>
        </w:rPr>
        <w:t>顯示，使用鋰鐵電瓶在條件一狀態下，起動時間效率來算優於鉛酸電瓶</w:t>
      </w:r>
      <w:r w:rsidRPr="0046451E">
        <w:rPr>
          <w:rFonts w:eastAsia="新細明體"/>
          <w:sz w:val="20"/>
          <w:szCs w:val="20"/>
        </w:rPr>
        <w:t>47.8%</w:t>
      </w:r>
      <w:r w:rsidRPr="0046451E">
        <w:rPr>
          <w:rFonts w:eastAsia="新細明體" w:hint="eastAsia"/>
          <w:sz w:val="20"/>
          <w:szCs w:val="20"/>
        </w:rPr>
        <w:t>，條件二狀態下起動效率也是比鉛酸電瓶好，在條件三狀態下更是比鉛酸電瓶的起動效率好</w:t>
      </w:r>
      <w:r w:rsidRPr="0046451E">
        <w:rPr>
          <w:rFonts w:eastAsia="新細明體"/>
          <w:sz w:val="20"/>
          <w:szCs w:val="20"/>
        </w:rPr>
        <w:t>153%</w:t>
      </w:r>
      <w:r w:rsidRPr="0046451E">
        <w:rPr>
          <w:rFonts w:eastAsia="新細明體" w:hint="eastAsia"/>
          <w:sz w:val="20"/>
          <w:szCs w:val="20"/>
        </w:rPr>
        <w:t>。這也代表著</w:t>
      </w:r>
    </w:p>
    <w:p w:rsidR="00D06FE7" w:rsidRPr="0046451E" w:rsidRDefault="00D06FE7" w:rsidP="00D06FE7">
      <w:pPr>
        <w:pStyle w:val="ae"/>
        <w:spacing w:line="240" w:lineRule="auto"/>
        <w:ind w:firstLine="400"/>
        <w:rPr>
          <w:rFonts w:eastAsia="新細明體"/>
          <w:szCs w:val="20"/>
        </w:rPr>
      </w:pPr>
      <w:bookmarkStart w:id="7" w:name="_Toc394055100"/>
      <w:r w:rsidRPr="0046451E">
        <w:rPr>
          <w:rFonts w:eastAsia="新細明體" w:hint="eastAsia"/>
          <w:szCs w:val="20"/>
        </w:rPr>
        <w:t>表</w:t>
      </w:r>
      <w:r w:rsidRPr="0046451E">
        <w:rPr>
          <w:rFonts w:eastAsia="新細明體"/>
          <w:szCs w:val="20"/>
        </w:rPr>
        <w:t xml:space="preserve">5. </w:t>
      </w:r>
      <w:r w:rsidRPr="0046451E">
        <w:rPr>
          <w:rFonts w:eastAsia="新細明體" w:hint="eastAsia"/>
          <w:szCs w:val="20"/>
        </w:rPr>
        <w:t>鉛酸電瓶與鋰鐵電瓶起動時間比較表</w:t>
      </w:r>
      <w:bookmarkEnd w:id="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0"/>
        <w:gridCol w:w="1820"/>
        <w:gridCol w:w="1821"/>
        <w:gridCol w:w="1821"/>
      </w:tblGrid>
      <w:tr w:rsidR="00D06FE7" w:rsidRPr="0046451E" w:rsidTr="004B0444">
        <w:trPr>
          <w:trHeight w:val="964"/>
          <w:jc w:val="center"/>
        </w:trPr>
        <w:tc>
          <w:tcPr>
            <w:tcW w:w="1820" w:type="dxa"/>
            <w:vAlign w:val="center"/>
          </w:tcPr>
          <w:p w:rsidR="00D06FE7" w:rsidRPr="0046451E" w:rsidRDefault="00D06FE7" w:rsidP="004B0444">
            <w:pPr>
              <w:spacing w:line="240" w:lineRule="auto"/>
              <w:ind w:firstLine="400"/>
              <w:jc w:val="both"/>
              <w:rPr>
                <w:rFonts w:eastAsia="新細明體"/>
                <w:sz w:val="20"/>
                <w:szCs w:val="20"/>
              </w:rPr>
            </w:pPr>
          </w:p>
        </w:tc>
        <w:tc>
          <w:tcPr>
            <w:tcW w:w="1820" w:type="dxa"/>
            <w:vAlign w:val="center"/>
          </w:tcPr>
          <w:p w:rsidR="00D06FE7" w:rsidRPr="0046451E" w:rsidRDefault="00D06FE7" w:rsidP="004B0444">
            <w:pPr>
              <w:spacing w:line="240" w:lineRule="auto"/>
              <w:ind w:firstLineChars="0" w:firstLine="0"/>
              <w:jc w:val="both"/>
              <w:rPr>
                <w:rFonts w:eastAsia="新細明體"/>
                <w:sz w:val="20"/>
                <w:szCs w:val="20"/>
              </w:rPr>
            </w:pPr>
            <w:r w:rsidRPr="0046451E">
              <w:rPr>
                <w:rFonts w:eastAsia="新細明體" w:hint="eastAsia"/>
                <w:sz w:val="20"/>
                <w:szCs w:val="20"/>
              </w:rPr>
              <w:t>鉛酸電瓶</w:t>
            </w:r>
          </w:p>
        </w:tc>
        <w:tc>
          <w:tcPr>
            <w:tcW w:w="1821" w:type="dxa"/>
            <w:vAlign w:val="center"/>
          </w:tcPr>
          <w:p w:rsidR="00D06FE7" w:rsidRPr="0046451E" w:rsidRDefault="00D06FE7" w:rsidP="004B0444">
            <w:pPr>
              <w:spacing w:line="240" w:lineRule="auto"/>
              <w:ind w:firstLineChars="0" w:firstLine="0"/>
              <w:jc w:val="both"/>
              <w:rPr>
                <w:rFonts w:eastAsia="新細明體"/>
                <w:sz w:val="20"/>
                <w:szCs w:val="20"/>
              </w:rPr>
            </w:pPr>
            <w:r w:rsidRPr="0046451E">
              <w:rPr>
                <w:rFonts w:eastAsia="新細明體" w:hint="eastAsia"/>
                <w:sz w:val="20"/>
                <w:szCs w:val="20"/>
              </w:rPr>
              <w:t>鋰鐵電瓶</w:t>
            </w:r>
          </w:p>
        </w:tc>
        <w:tc>
          <w:tcPr>
            <w:tcW w:w="1821" w:type="dxa"/>
            <w:vAlign w:val="center"/>
          </w:tcPr>
          <w:p w:rsidR="00D06FE7" w:rsidRPr="0046451E" w:rsidRDefault="00D06FE7" w:rsidP="004B0444">
            <w:pPr>
              <w:spacing w:line="240" w:lineRule="auto"/>
              <w:ind w:firstLineChars="0" w:firstLine="0"/>
              <w:jc w:val="both"/>
              <w:rPr>
                <w:rFonts w:eastAsia="新細明體"/>
                <w:sz w:val="20"/>
                <w:szCs w:val="20"/>
              </w:rPr>
            </w:pPr>
            <w:r w:rsidRPr="0046451E">
              <w:rPr>
                <w:rFonts w:eastAsia="新細明體" w:hint="eastAsia"/>
                <w:sz w:val="20"/>
                <w:szCs w:val="20"/>
              </w:rPr>
              <w:t>起動效率</w:t>
            </w:r>
          </w:p>
          <w:p w:rsidR="00D06FE7" w:rsidRPr="0046451E" w:rsidRDefault="00D06FE7" w:rsidP="004B0444">
            <w:pPr>
              <w:spacing w:line="240" w:lineRule="auto"/>
              <w:ind w:firstLineChars="0" w:firstLine="0"/>
              <w:jc w:val="both"/>
              <w:rPr>
                <w:rFonts w:eastAsia="新細明體"/>
                <w:sz w:val="20"/>
                <w:szCs w:val="20"/>
              </w:rPr>
            </w:pPr>
            <w:r w:rsidRPr="0046451E">
              <w:rPr>
                <w:rFonts w:eastAsia="新細明體" w:hint="eastAsia"/>
                <w:sz w:val="20"/>
                <w:szCs w:val="20"/>
              </w:rPr>
              <w:t>鉛酸</w:t>
            </w:r>
            <w:r w:rsidRPr="0046451E">
              <w:rPr>
                <w:rFonts w:eastAsia="新細明體"/>
                <w:sz w:val="20"/>
                <w:szCs w:val="20"/>
              </w:rPr>
              <w:t>vs</w:t>
            </w:r>
            <w:r w:rsidRPr="0046451E">
              <w:rPr>
                <w:rFonts w:eastAsia="新細明體" w:hint="eastAsia"/>
                <w:sz w:val="20"/>
                <w:szCs w:val="20"/>
              </w:rPr>
              <w:t>鋰鐵</w:t>
            </w:r>
          </w:p>
        </w:tc>
      </w:tr>
      <w:tr w:rsidR="00D06FE7" w:rsidRPr="0046451E" w:rsidTr="004B0444">
        <w:trPr>
          <w:trHeight w:val="966"/>
          <w:jc w:val="center"/>
        </w:trPr>
        <w:tc>
          <w:tcPr>
            <w:tcW w:w="1820" w:type="dxa"/>
            <w:vAlign w:val="center"/>
          </w:tcPr>
          <w:p w:rsidR="00D06FE7" w:rsidRPr="0046451E" w:rsidRDefault="00D06FE7" w:rsidP="004B0444">
            <w:pPr>
              <w:spacing w:line="240" w:lineRule="auto"/>
              <w:ind w:firstLineChars="0" w:firstLine="0"/>
              <w:jc w:val="both"/>
              <w:rPr>
                <w:rFonts w:eastAsia="新細明體"/>
                <w:sz w:val="20"/>
                <w:szCs w:val="20"/>
              </w:rPr>
            </w:pPr>
            <w:r w:rsidRPr="0046451E">
              <w:rPr>
                <w:rFonts w:eastAsia="新細明體" w:hint="eastAsia"/>
                <w:sz w:val="20"/>
                <w:szCs w:val="20"/>
              </w:rPr>
              <w:t>條件一狀態</w:t>
            </w:r>
          </w:p>
          <w:p w:rsidR="00D06FE7" w:rsidRPr="0046451E" w:rsidRDefault="00D06FE7" w:rsidP="004B0444">
            <w:pPr>
              <w:spacing w:line="240" w:lineRule="auto"/>
              <w:ind w:firstLineChars="0" w:firstLine="0"/>
              <w:jc w:val="both"/>
              <w:rPr>
                <w:rFonts w:eastAsia="新細明體"/>
                <w:sz w:val="20"/>
                <w:szCs w:val="20"/>
              </w:rPr>
            </w:pPr>
            <w:r w:rsidRPr="0046451E">
              <w:rPr>
                <w:rFonts w:eastAsia="新細明體" w:hint="eastAsia"/>
                <w:sz w:val="20"/>
                <w:szCs w:val="20"/>
              </w:rPr>
              <w:t>發動時間</w:t>
            </w:r>
          </w:p>
        </w:tc>
        <w:tc>
          <w:tcPr>
            <w:tcW w:w="1820" w:type="dxa"/>
            <w:vAlign w:val="center"/>
          </w:tcPr>
          <w:p w:rsidR="00D06FE7" w:rsidRPr="0046451E" w:rsidRDefault="00D06FE7" w:rsidP="004B0444">
            <w:pPr>
              <w:spacing w:line="240" w:lineRule="auto"/>
              <w:ind w:firstLineChars="0" w:firstLine="0"/>
              <w:jc w:val="both"/>
              <w:rPr>
                <w:rFonts w:eastAsia="新細明體"/>
                <w:sz w:val="20"/>
                <w:szCs w:val="20"/>
              </w:rPr>
            </w:pPr>
            <w:r w:rsidRPr="0046451E">
              <w:rPr>
                <w:rFonts w:eastAsia="新細明體"/>
                <w:sz w:val="20"/>
                <w:szCs w:val="20"/>
              </w:rPr>
              <w:t>0.68</w:t>
            </w:r>
            <w:r w:rsidRPr="0046451E">
              <w:rPr>
                <w:rFonts w:eastAsia="新細明體" w:hint="eastAsia"/>
                <w:sz w:val="20"/>
                <w:szCs w:val="20"/>
              </w:rPr>
              <w:t>秒</w:t>
            </w:r>
          </w:p>
        </w:tc>
        <w:tc>
          <w:tcPr>
            <w:tcW w:w="1821" w:type="dxa"/>
            <w:vAlign w:val="center"/>
          </w:tcPr>
          <w:p w:rsidR="00D06FE7" w:rsidRPr="0046451E" w:rsidRDefault="00D06FE7" w:rsidP="004B0444">
            <w:pPr>
              <w:spacing w:line="240" w:lineRule="auto"/>
              <w:ind w:firstLineChars="0" w:firstLine="0"/>
              <w:jc w:val="both"/>
              <w:rPr>
                <w:rFonts w:eastAsia="新細明體"/>
                <w:sz w:val="20"/>
                <w:szCs w:val="20"/>
              </w:rPr>
            </w:pPr>
            <w:r w:rsidRPr="0046451E">
              <w:rPr>
                <w:rFonts w:eastAsia="新細明體"/>
                <w:sz w:val="20"/>
                <w:szCs w:val="20"/>
              </w:rPr>
              <w:t>0.46</w:t>
            </w:r>
            <w:r w:rsidRPr="0046451E">
              <w:rPr>
                <w:rFonts w:eastAsia="新細明體" w:hint="eastAsia"/>
                <w:sz w:val="20"/>
                <w:szCs w:val="20"/>
              </w:rPr>
              <w:t>秒</w:t>
            </w:r>
          </w:p>
        </w:tc>
        <w:tc>
          <w:tcPr>
            <w:tcW w:w="1821" w:type="dxa"/>
            <w:vAlign w:val="center"/>
          </w:tcPr>
          <w:p w:rsidR="00D06FE7" w:rsidRPr="0046451E" w:rsidRDefault="00D06FE7" w:rsidP="004B0444">
            <w:pPr>
              <w:spacing w:line="240" w:lineRule="auto"/>
              <w:ind w:firstLineChars="0" w:firstLine="0"/>
              <w:jc w:val="both"/>
              <w:rPr>
                <w:rFonts w:eastAsia="新細明體"/>
                <w:sz w:val="20"/>
                <w:szCs w:val="20"/>
              </w:rPr>
            </w:pPr>
            <w:r w:rsidRPr="0046451E">
              <w:rPr>
                <w:rFonts w:eastAsia="新細明體"/>
                <w:sz w:val="20"/>
                <w:szCs w:val="20"/>
              </w:rPr>
              <w:t>47.8 %</w:t>
            </w:r>
          </w:p>
        </w:tc>
      </w:tr>
      <w:tr w:rsidR="00D06FE7" w:rsidRPr="0046451E" w:rsidTr="004B0444">
        <w:trPr>
          <w:trHeight w:val="188"/>
          <w:jc w:val="center"/>
        </w:trPr>
        <w:tc>
          <w:tcPr>
            <w:tcW w:w="1820" w:type="dxa"/>
            <w:vAlign w:val="center"/>
          </w:tcPr>
          <w:p w:rsidR="00D06FE7" w:rsidRPr="0046451E" w:rsidRDefault="00D06FE7" w:rsidP="004B0444">
            <w:pPr>
              <w:spacing w:line="240" w:lineRule="auto"/>
              <w:ind w:firstLineChars="0" w:firstLine="0"/>
              <w:jc w:val="both"/>
              <w:rPr>
                <w:rFonts w:eastAsia="新細明體"/>
                <w:sz w:val="20"/>
                <w:szCs w:val="20"/>
              </w:rPr>
            </w:pPr>
            <w:r w:rsidRPr="0046451E">
              <w:rPr>
                <w:rFonts w:eastAsia="新細明體" w:hint="eastAsia"/>
                <w:sz w:val="20"/>
                <w:szCs w:val="20"/>
              </w:rPr>
              <w:t>條件二狀態</w:t>
            </w:r>
          </w:p>
          <w:p w:rsidR="00D06FE7" w:rsidRPr="0046451E" w:rsidRDefault="00D06FE7" w:rsidP="004B0444">
            <w:pPr>
              <w:spacing w:line="240" w:lineRule="auto"/>
              <w:ind w:firstLineChars="0" w:firstLine="0"/>
              <w:jc w:val="both"/>
              <w:rPr>
                <w:rFonts w:eastAsia="新細明體"/>
                <w:sz w:val="20"/>
                <w:szCs w:val="20"/>
              </w:rPr>
            </w:pPr>
            <w:r w:rsidRPr="0046451E">
              <w:rPr>
                <w:rFonts w:eastAsia="新細明體" w:hint="eastAsia"/>
                <w:sz w:val="20"/>
                <w:szCs w:val="20"/>
              </w:rPr>
              <w:t>發動時間</w:t>
            </w:r>
          </w:p>
        </w:tc>
        <w:tc>
          <w:tcPr>
            <w:tcW w:w="1820" w:type="dxa"/>
            <w:vAlign w:val="center"/>
          </w:tcPr>
          <w:p w:rsidR="00D06FE7" w:rsidRPr="0046451E" w:rsidRDefault="00D06FE7" w:rsidP="004B0444">
            <w:pPr>
              <w:spacing w:line="240" w:lineRule="auto"/>
              <w:ind w:firstLineChars="0" w:firstLine="0"/>
              <w:jc w:val="both"/>
              <w:rPr>
                <w:rFonts w:eastAsia="新細明體"/>
                <w:sz w:val="20"/>
                <w:szCs w:val="20"/>
              </w:rPr>
            </w:pPr>
            <w:r w:rsidRPr="0046451E">
              <w:rPr>
                <w:rFonts w:eastAsia="新細明體"/>
                <w:sz w:val="20"/>
                <w:szCs w:val="20"/>
              </w:rPr>
              <w:t>0.77</w:t>
            </w:r>
            <w:r w:rsidRPr="0046451E">
              <w:rPr>
                <w:rFonts w:eastAsia="新細明體" w:hint="eastAsia"/>
                <w:sz w:val="20"/>
                <w:szCs w:val="20"/>
              </w:rPr>
              <w:t>秒</w:t>
            </w:r>
          </w:p>
        </w:tc>
        <w:tc>
          <w:tcPr>
            <w:tcW w:w="1821" w:type="dxa"/>
            <w:vAlign w:val="center"/>
          </w:tcPr>
          <w:p w:rsidR="00D06FE7" w:rsidRPr="0046451E" w:rsidRDefault="00D06FE7" w:rsidP="004B0444">
            <w:pPr>
              <w:spacing w:line="240" w:lineRule="auto"/>
              <w:ind w:firstLineChars="0" w:firstLine="0"/>
              <w:jc w:val="both"/>
              <w:rPr>
                <w:rFonts w:eastAsia="新細明體"/>
                <w:sz w:val="20"/>
                <w:szCs w:val="20"/>
              </w:rPr>
            </w:pPr>
            <w:r w:rsidRPr="0046451E">
              <w:rPr>
                <w:rFonts w:eastAsia="新細明體"/>
                <w:sz w:val="20"/>
                <w:szCs w:val="20"/>
              </w:rPr>
              <w:t>0.45</w:t>
            </w:r>
            <w:r w:rsidRPr="0046451E">
              <w:rPr>
                <w:rFonts w:eastAsia="新細明體" w:hint="eastAsia"/>
                <w:sz w:val="20"/>
                <w:szCs w:val="20"/>
              </w:rPr>
              <w:t>秒</w:t>
            </w:r>
          </w:p>
        </w:tc>
        <w:tc>
          <w:tcPr>
            <w:tcW w:w="1821" w:type="dxa"/>
            <w:vAlign w:val="center"/>
          </w:tcPr>
          <w:p w:rsidR="00D06FE7" w:rsidRPr="0046451E" w:rsidRDefault="00D06FE7" w:rsidP="004B0444">
            <w:pPr>
              <w:spacing w:line="240" w:lineRule="auto"/>
              <w:ind w:firstLineChars="0" w:firstLine="0"/>
              <w:jc w:val="both"/>
              <w:rPr>
                <w:rFonts w:eastAsia="新細明體"/>
                <w:sz w:val="20"/>
                <w:szCs w:val="20"/>
              </w:rPr>
            </w:pPr>
            <w:r w:rsidRPr="0046451E">
              <w:rPr>
                <w:rFonts w:eastAsia="新細明體"/>
                <w:sz w:val="20"/>
                <w:szCs w:val="20"/>
              </w:rPr>
              <w:t>71.1%</w:t>
            </w:r>
          </w:p>
        </w:tc>
      </w:tr>
      <w:tr w:rsidR="00D06FE7" w:rsidRPr="0046451E" w:rsidTr="004B0444">
        <w:trPr>
          <w:trHeight w:val="180"/>
          <w:jc w:val="center"/>
        </w:trPr>
        <w:tc>
          <w:tcPr>
            <w:tcW w:w="1820" w:type="dxa"/>
            <w:vAlign w:val="center"/>
          </w:tcPr>
          <w:p w:rsidR="00D06FE7" w:rsidRPr="0046451E" w:rsidRDefault="00D06FE7" w:rsidP="004B0444">
            <w:pPr>
              <w:spacing w:line="240" w:lineRule="auto"/>
              <w:ind w:firstLineChars="0" w:firstLine="0"/>
              <w:jc w:val="both"/>
              <w:rPr>
                <w:rFonts w:eastAsia="新細明體"/>
                <w:sz w:val="20"/>
                <w:szCs w:val="20"/>
              </w:rPr>
            </w:pPr>
            <w:r w:rsidRPr="0046451E">
              <w:rPr>
                <w:rFonts w:eastAsia="新細明體" w:hint="eastAsia"/>
                <w:sz w:val="20"/>
                <w:szCs w:val="20"/>
              </w:rPr>
              <w:t>條件三狀態</w:t>
            </w:r>
          </w:p>
          <w:p w:rsidR="00D06FE7" w:rsidRPr="0046451E" w:rsidRDefault="00D06FE7" w:rsidP="004B0444">
            <w:pPr>
              <w:spacing w:line="240" w:lineRule="auto"/>
              <w:ind w:firstLineChars="0" w:firstLine="0"/>
              <w:jc w:val="both"/>
              <w:rPr>
                <w:rFonts w:eastAsia="新細明體"/>
                <w:sz w:val="20"/>
                <w:szCs w:val="20"/>
              </w:rPr>
            </w:pPr>
            <w:r w:rsidRPr="0046451E">
              <w:rPr>
                <w:rFonts w:eastAsia="新細明體" w:hint="eastAsia"/>
                <w:sz w:val="20"/>
                <w:szCs w:val="20"/>
              </w:rPr>
              <w:t>發動時間</w:t>
            </w:r>
          </w:p>
        </w:tc>
        <w:tc>
          <w:tcPr>
            <w:tcW w:w="1820" w:type="dxa"/>
            <w:vAlign w:val="center"/>
          </w:tcPr>
          <w:p w:rsidR="00D06FE7" w:rsidRPr="0046451E" w:rsidRDefault="00D06FE7" w:rsidP="004B0444">
            <w:pPr>
              <w:spacing w:line="240" w:lineRule="auto"/>
              <w:ind w:firstLineChars="0" w:firstLine="0"/>
              <w:jc w:val="both"/>
              <w:rPr>
                <w:rFonts w:eastAsia="新細明體"/>
                <w:sz w:val="20"/>
                <w:szCs w:val="20"/>
              </w:rPr>
            </w:pPr>
            <w:r w:rsidRPr="0046451E">
              <w:rPr>
                <w:rFonts w:eastAsia="新細明體"/>
                <w:sz w:val="20"/>
                <w:szCs w:val="20"/>
              </w:rPr>
              <w:t>1.17</w:t>
            </w:r>
            <w:r w:rsidRPr="0046451E">
              <w:rPr>
                <w:rFonts w:eastAsia="新細明體" w:hint="eastAsia"/>
                <w:sz w:val="20"/>
                <w:szCs w:val="20"/>
              </w:rPr>
              <w:t>秒</w:t>
            </w:r>
          </w:p>
        </w:tc>
        <w:tc>
          <w:tcPr>
            <w:tcW w:w="1821" w:type="dxa"/>
            <w:vAlign w:val="center"/>
          </w:tcPr>
          <w:p w:rsidR="00D06FE7" w:rsidRPr="0046451E" w:rsidRDefault="00D06FE7" w:rsidP="004B0444">
            <w:pPr>
              <w:spacing w:line="240" w:lineRule="auto"/>
              <w:ind w:firstLineChars="0" w:firstLine="0"/>
              <w:jc w:val="both"/>
              <w:rPr>
                <w:rFonts w:eastAsia="新細明體"/>
                <w:sz w:val="20"/>
                <w:szCs w:val="20"/>
              </w:rPr>
            </w:pPr>
            <w:r w:rsidRPr="0046451E">
              <w:rPr>
                <w:rFonts w:eastAsia="新細明體"/>
                <w:sz w:val="20"/>
                <w:szCs w:val="20"/>
              </w:rPr>
              <w:t>0.46</w:t>
            </w:r>
            <w:r w:rsidRPr="0046451E">
              <w:rPr>
                <w:rFonts w:eastAsia="新細明體" w:hint="eastAsia"/>
                <w:sz w:val="20"/>
                <w:szCs w:val="20"/>
              </w:rPr>
              <w:t>秒</w:t>
            </w:r>
          </w:p>
        </w:tc>
        <w:tc>
          <w:tcPr>
            <w:tcW w:w="1821" w:type="dxa"/>
            <w:vAlign w:val="center"/>
          </w:tcPr>
          <w:p w:rsidR="00D06FE7" w:rsidRPr="0046451E" w:rsidRDefault="00D06FE7" w:rsidP="004B0444">
            <w:pPr>
              <w:spacing w:line="240" w:lineRule="auto"/>
              <w:ind w:firstLineChars="0" w:firstLine="0"/>
              <w:jc w:val="both"/>
              <w:rPr>
                <w:rFonts w:eastAsia="新細明體"/>
                <w:sz w:val="20"/>
                <w:szCs w:val="20"/>
              </w:rPr>
            </w:pPr>
            <w:r w:rsidRPr="0046451E">
              <w:rPr>
                <w:rFonts w:eastAsia="新細明體"/>
                <w:sz w:val="20"/>
                <w:szCs w:val="20"/>
              </w:rPr>
              <w:t>153%</w:t>
            </w:r>
          </w:p>
        </w:tc>
      </w:tr>
    </w:tbl>
    <w:p w:rsidR="00D06FE7" w:rsidRPr="0046451E" w:rsidRDefault="00D06FE7" w:rsidP="00D06FE7">
      <w:pPr>
        <w:spacing w:line="240" w:lineRule="auto"/>
        <w:ind w:firstLineChars="0" w:firstLine="0"/>
        <w:jc w:val="both"/>
        <w:rPr>
          <w:rFonts w:eastAsia="新細明體"/>
          <w:b/>
          <w:sz w:val="20"/>
          <w:szCs w:val="20"/>
        </w:rPr>
      </w:pPr>
      <w:r w:rsidRPr="0046451E">
        <w:rPr>
          <w:rFonts w:eastAsia="新細明體" w:hint="eastAsia"/>
          <w:b/>
          <w:sz w:val="20"/>
          <w:szCs w:val="20"/>
        </w:rPr>
        <w:t>結論</w:t>
      </w:r>
    </w:p>
    <w:p w:rsidR="00D06FE7" w:rsidRPr="0046451E" w:rsidRDefault="00D06FE7" w:rsidP="00D06FE7">
      <w:pPr>
        <w:spacing w:line="240" w:lineRule="auto"/>
        <w:ind w:firstLineChars="236" w:firstLine="472"/>
        <w:jc w:val="both"/>
        <w:rPr>
          <w:rFonts w:eastAsia="新細明體"/>
          <w:sz w:val="20"/>
          <w:szCs w:val="20"/>
        </w:rPr>
      </w:pPr>
      <w:r w:rsidRPr="0046451E">
        <w:rPr>
          <w:rFonts w:eastAsia="新細明體" w:hint="eastAsia"/>
          <w:sz w:val="20"/>
          <w:szCs w:val="20"/>
        </w:rPr>
        <w:t>本研究最主要是針對起動電瓶在汽油噴射引擎上，使用鉛酸電瓶和起動型鋰鐵對引擎性能的比較得到以下的結果。</w:t>
      </w:r>
    </w:p>
    <w:p w:rsidR="00D06FE7" w:rsidRPr="0046451E" w:rsidRDefault="00D06FE7" w:rsidP="00D06FE7">
      <w:pPr>
        <w:pStyle w:val="aa"/>
        <w:numPr>
          <w:ilvl w:val="0"/>
          <w:numId w:val="6"/>
        </w:numPr>
        <w:spacing w:line="240" w:lineRule="auto"/>
        <w:ind w:leftChars="0" w:left="304" w:hangingChars="152" w:hanging="304"/>
        <w:jc w:val="both"/>
        <w:rPr>
          <w:rFonts w:eastAsia="新細明體"/>
          <w:sz w:val="20"/>
        </w:rPr>
      </w:pPr>
      <w:r w:rsidRPr="0046451E">
        <w:rPr>
          <w:rFonts w:eastAsia="新細明體" w:hint="eastAsia"/>
          <w:sz w:val="20"/>
        </w:rPr>
        <w:t>在放電後對電瓶回充效率中使用起動型鋰鐵電瓶，發電機對鋰鐵電瓶回充時間明顯降低許多。且因鋰鐵電瓶自放電較低，所以對發電機而言負荷相對較低，便能降低引擎動能損耗。</w:t>
      </w:r>
    </w:p>
    <w:p w:rsidR="00D06FE7" w:rsidRPr="0046451E" w:rsidRDefault="00D06FE7" w:rsidP="00D06FE7">
      <w:pPr>
        <w:pStyle w:val="aa"/>
        <w:numPr>
          <w:ilvl w:val="0"/>
          <w:numId w:val="6"/>
        </w:numPr>
        <w:spacing w:line="240" w:lineRule="auto"/>
        <w:ind w:leftChars="0" w:left="304" w:hangingChars="152" w:hanging="304"/>
        <w:jc w:val="both"/>
        <w:rPr>
          <w:rFonts w:eastAsia="新細明體"/>
          <w:sz w:val="20"/>
        </w:rPr>
      </w:pPr>
      <w:r w:rsidRPr="0046451E">
        <w:rPr>
          <w:rFonts w:eastAsia="新細明體" w:hint="eastAsia"/>
          <w:sz w:val="20"/>
        </w:rPr>
        <w:t>再點火二次波型中，鋰鐵電瓶的燃燒時間相對要長且穩定許多，在燃燒室中火星塞燃燒效率提升，引擎性能自然就提升。</w:t>
      </w:r>
    </w:p>
    <w:p w:rsidR="00D06FE7" w:rsidRPr="0046451E" w:rsidRDefault="00D06FE7" w:rsidP="00D06FE7">
      <w:pPr>
        <w:pStyle w:val="aa"/>
        <w:numPr>
          <w:ilvl w:val="0"/>
          <w:numId w:val="6"/>
        </w:numPr>
        <w:spacing w:line="240" w:lineRule="auto"/>
        <w:ind w:leftChars="0" w:left="304" w:hangingChars="152" w:hanging="304"/>
        <w:jc w:val="both"/>
        <w:rPr>
          <w:rFonts w:eastAsia="新細明體"/>
          <w:sz w:val="20"/>
        </w:rPr>
      </w:pPr>
      <w:r w:rsidRPr="0046451E">
        <w:rPr>
          <w:rFonts w:eastAsia="新細明體" w:hint="eastAsia"/>
          <w:sz w:val="20"/>
        </w:rPr>
        <w:t>起動波型測試中使用鋰鐵電瓶相較於鉛酸電瓶起動時間較短，且起動時的電壓降亦較少。</w:t>
      </w:r>
    </w:p>
    <w:p w:rsidR="00D06FE7" w:rsidRDefault="00D06FE7" w:rsidP="00D06FE7">
      <w:pPr>
        <w:spacing w:line="240" w:lineRule="auto"/>
        <w:ind w:firstLineChars="0" w:firstLine="0"/>
        <w:jc w:val="both"/>
        <w:rPr>
          <w:rFonts w:eastAsia="新細明體"/>
          <w:sz w:val="20"/>
          <w:szCs w:val="20"/>
        </w:rPr>
      </w:pPr>
      <w:r w:rsidRPr="0046451E">
        <w:rPr>
          <w:rFonts w:eastAsia="新細明體" w:hint="eastAsia"/>
          <w:sz w:val="20"/>
          <w:szCs w:val="20"/>
        </w:rPr>
        <w:t>在大多數人對電瓶的了解上認為電瓶只用在起動上，再加上車輛在都市中的方便性常常使電瓶容量在未充飽的狀態下熄火而再次啟動，此種行為會影響電瓶壽命。透過本研究證實起動型鋰鐵電瓶再回充速度上及起動電壓與點火電壓皆優於鉛酸電瓶並可延長電瓶</w:t>
      </w:r>
      <w:r>
        <w:rPr>
          <w:rFonts w:eastAsia="新細明體" w:hint="eastAsia"/>
          <w:sz w:val="20"/>
          <w:szCs w:val="20"/>
        </w:rPr>
        <w:t>壽命。</w:t>
      </w:r>
    </w:p>
    <w:p w:rsidR="00D06FE7" w:rsidRDefault="00D06FE7" w:rsidP="00D06FE7">
      <w:pPr>
        <w:spacing w:line="240" w:lineRule="auto"/>
        <w:ind w:firstLineChars="0" w:firstLine="0"/>
        <w:jc w:val="center"/>
        <w:rPr>
          <w:rFonts w:eastAsia="新細明體" w:hint="eastAsia"/>
          <w:b/>
          <w:sz w:val="20"/>
          <w:szCs w:val="20"/>
        </w:rPr>
      </w:pPr>
      <w:r w:rsidRPr="00D06FE7">
        <w:rPr>
          <w:rFonts w:eastAsia="新細明體" w:hint="eastAsia"/>
          <w:b/>
          <w:sz w:val="20"/>
          <w:szCs w:val="20"/>
        </w:rPr>
        <w:t>參考文獻</w:t>
      </w:r>
    </w:p>
    <w:p w:rsidR="001106C7" w:rsidRPr="00512759" w:rsidRDefault="001106C7" w:rsidP="001106C7">
      <w:pPr>
        <w:spacing w:line="240" w:lineRule="auto"/>
        <w:ind w:left="304" w:hangingChars="152" w:hanging="304"/>
        <w:rPr>
          <w:rFonts w:eastAsia="新細明體"/>
          <w:sz w:val="20"/>
          <w:szCs w:val="20"/>
        </w:rPr>
      </w:pPr>
      <w:r w:rsidRPr="00512759">
        <w:rPr>
          <w:rFonts w:eastAsia="新細明體"/>
          <w:sz w:val="20"/>
          <w:szCs w:val="20"/>
        </w:rPr>
        <w:t>[1</w:t>
      </w:r>
      <w:r w:rsidRPr="00512759">
        <w:rPr>
          <w:rFonts w:eastAsia="新細明體"/>
          <w:sz w:val="20"/>
          <w:szCs w:val="20"/>
        </w:rPr>
        <w:t>]</w:t>
      </w:r>
      <w:r w:rsidRPr="00512759">
        <w:rPr>
          <w:rFonts w:eastAsia="新細明體"/>
          <w:sz w:val="20"/>
          <w:szCs w:val="20"/>
        </w:rPr>
        <w:t>王德緯，</w:t>
      </w:r>
      <w:r w:rsidRPr="00512759">
        <w:rPr>
          <w:rFonts w:eastAsia="新細明體"/>
          <w:sz w:val="20"/>
          <w:szCs w:val="20"/>
        </w:rPr>
        <w:t>2002</w:t>
      </w:r>
      <w:r w:rsidRPr="00512759">
        <w:rPr>
          <w:rFonts w:eastAsia="新細明體"/>
          <w:sz w:val="20"/>
          <w:szCs w:val="20"/>
        </w:rPr>
        <w:t>，</w:t>
      </w:r>
      <w:r w:rsidRPr="00512759">
        <w:rPr>
          <w:rFonts w:eastAsia="新細明體"/>
          <w:sz w:val="20"/>
          <w:szCs w:val="20"/>
        </w:rPr>
        <w:t>"</w:t>
      </w:r>
      <w:r w:rsidRPr="00512759">
        <w:rPr>
          <w:rFonts w:eastAsia="新細明體"/>
          <w:sz w:val="20"/>
          <w:szCs w:val="20"/>
        </w:rPr>
        <w:t>具能量回送與電量</w:t>
      </w:r>
      <w:proofErr w:type="gramStart"/>
      <w:r w:rsidRPr="00512759">
        <w:rPr>
          <w:rFonts w:eastAsia="新細明體"/>
          <w:sz w:val="20"/>
          <w:szCs w:val="20"/>
        </w:rPr>
        <w:t>估測之鉛酸</w:t>
      </w:r>
      <w:proofErr w:type="gramEnd"/>
      <w:r w:rsidRPr="00512759">
        <w:rPr>
          <w:rFonts w:eastAsia="新細明體"/>
          <w:sz w:val="20"/>
          <w:szCs w:val="20"/>
        </w:rPr>
        <w:t>電池充電器設計與實現</w:t>
      </w:r>
      <w:proofErr w:type="gramStart"/>
      <w:r w:rsidRPr="00512759">
        <w:rPr>
          <w:rFonts w:eastAsia="新細明體"/>
          <w:sz w:val="20"/>
          <w:szCs w:val="20"/>
        </w:rPr>
        <w:t>”</w:t>
      </w:r>
      <w:proofErr w:type="gramEnd"/>
      <w:r w:rsidRPr="00512759">
        <w:rPr>
          <w:rFonts w:eastAsia="新細明體"/>
          <w:sz w:val="20"/>
          <w:szCs w:val="20"/>
        </w:rPr>
        <w:t>，</w:t>
      </w:r>
      <w:r w:rsidRPr="00512759">
        <w:rPr>
          <w:rFonts w:eastAsia="新細明體"/>
          <w:sz w:val="20"/>
          <w:szCs w:val="20"/>
        </w:rPr>
        <w:t xml:space="preserve"> </w:t>
      </w:r>
      <w:r w:rsidRPr="00512759">
        <w:rPr>
          <w:rFonts w:eastAsia="新細明體"/>
          <w:sz w:val="20"/>
          <w:szCs w:val="20"/>
        </w:rPr>
        <w:t>國立中央大學，碩士論文。</w:t>
      </w:r>
    </w:p>
    <w:p w:rsidR="001106C7" w:rsidRPr="00512759" w:rsidRDefault="001106C7" w:rsidP="001106C7">
      <w:pPr>
        <w:spacing w:line="240" w:lineRule="auto"/>
        <w:ind w:left="304" w:hangingChars="152" w:hanging="304"/>
        <w:rPr>
          <w:rFonts w:eastAsia="新細明體"/>
          <w:sz w:val="20"/>
          <w:szCs w:val="20"/>
        </w:rPr>
      </w:pPr>
      <w:r w:rsidRPr="00512759">
        <w:rPr>
          <w:rFonts w:eastAsia="新細明體"/>
          <w:sz w:val="20"/>
          <w:szCs w:val="20"/>
        </w:rPr>
        <w:t>[</w:t>
      </w:r>
      <w:r w:rsidRPr="00512759">
        <w:rPr>
          <w:rFonts w:eastAsia="新細明體"/>
          <w:sz w:val="20"/>
          <w:szCs w:val="20"/>
        </w:rPr>
        <w:t>2</w:t>
      </w:r>
      <w:r w:rsidRPr="00512759">
        <w:rPr>
          <w:rFonts w:eastAsia="新細明體"/>
          <w:sz w:val="20"/>
          <w:szCs w:val="20"/>
        </w:rPr>
        <w:t xml:space="preserve">]T. </w:t>
      </w:r>
      <w:proofErr w:type="spellStart"/>
      <w:r w:rsidRPr="00512759">
        <w:rPr>
          <w:rFonts w:eastAsia="新細明體"/>
          <w:sz w:val="20"/>
          <w:szCs w:val="20"/>
        </w:rPr>
        <w:t>Palanisamy</w:t>
      </w:r>
      <w:proofErr w:type="spellEnd"/>
      <w:r w:rsidRPr="00512759">
        <w:rPr>
          <w:rFonts w:eastAsia="新細明體"/>
          <w:sz w:val="20"/>
          <w:szCs w:val="20"/>
        </w:rPr>
        <w:t xml:space="preserve"> and P. O. Box, 1990</w:t>
      </w:r>
      <w:proofErr w:type="gramStart"/>
      <w:r w:rsidRPr="00512759">
        <w:rPr>
          <w:rFonts w:eastAsia="新細明體"/>
          <w:sz w:val="20"/>
          <w:szCs w:val="20"/>
        </w:rPr>
        <w:t>,“</w:t>
      </w:r>
      <w:proofErr w:type="gramEnd"/>
      <w:r w:rsidRPr="00512759">
        <w:rPr>
          <w:rFonts w:eastAsia="新細明體"/>
          <w:sz w:val="20"/>
          <w:szCs w:val="20"/>
        </w:rPr>
        <w:t>Charging techniques for a universal lead-acid battery charger”, Power Sources Symposium, 1990, pp. 72-76</w:t>
      </w:r>
      <w:r w:rsidRPr="00512759">
        <w:rPr>
          <w:rFonts w:eastAsia="新細明體"/>
          <w:sz w:val="20"/>
          <w:szCs w:val="20"/>
        </w:rPr>
        <w:t>。</w:t>
      </w:r>
    </w:p>
    <w:p w:rsidR="001106C7" w:rsidRPr="00512759" w:rsidRDefault="001106C7" w:rsidP="001106C7">
      <w:pPr>
        <w:spacing w:line="240" w:lineRule="auto"/>
        <w:ind w:left="304" w:hangingChars="152" w:hanging="304"/>
        <w:rPr>
          <w:rFonts w:eastAsia="新細明體"/>
          <w:sz w:val="20"/>
          <w:szCs w:val="20"/>
        </w:rPr>
      </w:pPr>
      <w:r w:rsidRPr="00512759">
        <w:rPr>
          <w:rFonts w:eastAsia="新細明體"/>
          <w:sz w:val="20"/>
          <w:szCs w:val="20"/>
        </w:rPr>
        <w:t>[</w:t>
      </w:r>
      <w:r w:rsidRPr="00512759">
        <w:rPr>
          <w:rFonts w:eastAsia="新細明體"/>
          <w:sz w:val="20"/>
          <w:szCs w:val="20"/>
        </w:rPr>
        <w:t>3</w:t>
      </w:r>
      <w:r w:rsidRPr="00512759">
        <w:rPr>
          <w:rFonts w:eastAsia="新細明體"/>
          <w:sz w:val="20"/>
          <w:szCs w:val="20"/>
        </w:rPr>
        <w:t xml:space="preserve">]E.M. </w:t>
      </w:r>
      <w:proofErr w:type="spellStart"/>
      <w:r w:rsidRPr="00512759">
        <w:rPr>
          <w:rFonts w:eastAsia="新細明體"/>
          <w:sz w:val="20"/>
          <w:szCs w:val="20"/>
        </w:rPr>
        <w:t>Valeriote</w:t>
      </w:r>
      <w:proofErr w:type="spellEnd"/>
      <w:r w:rsidRPr="00512759">
        <w:rPr>
          <w:rFonts w:eastAsia="新細明體"/>
          <w:sz w:val="20"/>
          <w:szCs w:val="20"/>
        </w:rPr>
        <w:t xml:space="preserve">, T.G. </w:t>
      </w:r>
      <w:proofErr w:type="spellStart"/>
      <w:r w:rsidRPr="00512759">
        <w:rPr>
          <w:rFonts w:eastAsia="新細明體"/>
          <w:sz w:val="20"/>
          <w:szCs w:val="20"/>
        </w:rPr>
        <w:t>chang</w:t>
      </w:r>
      <w:proofErr w:type="spellEnd"/>
      <w:r w:rsidRPr="00512759">
        <w:rPr>
          <w:rFonts w:eastAsia="新細明體"/>
          <w:sz w:val="20"/>
          <w:szCs w:val="20"/>
        </w:rPr>
        <w:t xml:space="preserve"> and D.M. </w:t>
      </w:r>
      <w:proofErr w:type="spellStart"/>
      <w:r w:rsidRPr="00512759">
        <w:rPr>
          <w:rFonts w:eastAsia="新細明體"/>
          <w:sz w:val="20"/>
          <w:szCs w:val="20"/>
        </w:rPr>
        <w:t>Jochim</w:t>
      </w:r>
      <w:proofErr w:type="spellEnd"/>
      <w:r w:rsidRPr="00512759">
        <w:rPr>
          <w:rFonts w:eastAsia="新細明體"/>
          <w:sz w:val="20"/>
          <w:szCs w:val="20"/>
        </w:rPr>
        <w:t>, 1994</w:t>
      </w:r>
      <w:proofErr w:type="gramStart"/>
      <w:r w:rsidRPr="00512759">
        <w:rPr>
          <w:rFonts w:eastAsia="新細明體"/>
          <w:sz w:val="20"/>
          <w:szCs w:val="20"/>
        </w:rPr>
        <w:t>,“</w:t>
      </w:r>
      <w:proofErr w:type="gramEnd"/>
      <w:r w:rsidRPr="00512759">
        <w:rPr>
          <w:rFonts w:eastAsia="新細明體"/>
          <w:sz w:val="20"/>
          <w:szCs w:val="20"/>
        </w:rPr>
        <w:t>Fast charging of lead-acid batteries”, Battery Conference on Applications and Advances, 1994, pp. 33-38</w:t>
      </w:r>
      <w:r w:rsidRPr="00512759">
        <w:rPr>
          <w:rFonts w:eastAsia="新細明體"/>
          <w:sz w:val="20"/>
          <w:szCs w:val="20"/>
        </w:rPr>
        <w:t>。</w:t>
      </w:r>
    </w:p>
    <w:p w:rsidR="001106C7" w:rsidRPr="00512759" w:rsidRDefault="001106C7" w:rsidP="001106C7">
      <w:pPr>
        <w:spacing w:line="240" w:lineRule="auto"/>
        <w:ind w:left="304" w:hangingChars="152" w:hanging="304"/>
        <w:rPr>
          <w:rFonts w:eastAsia="新細明體"/>
          <w:sz w:val="20"/>
          <w:szCs w:val="20"/>
        </w:rPr>
      </w:pPr>
      <w:r w:rsidRPr="00512759">
        <w:rPr>
          <w:rFonts w:eastAsia="新細明體"/>
          <w:sz w:val="20"/>
          <w:szCs w:val="20"/>
        </w:rPr>
        <w:lastRenderedPageBreak/>
        <w:t>[4</w:t>
      </w:r>
      <w:r w:rsidRPr="00512759">
        <w:rPr>
          <w:rFonts w:eastAsia="新細明體"/>
          <w:sz w:val="20"/>
          <w:szCs w:val="20"/>
        </w:rPr>
        <w:t>]</w:t>
      </w:r>
      <w:r w:rsidRPr="00512759">
        <w:rPr>
          <w:rFonts w:eastAsia="新細明體"/>
          <w:sz w:val="20"/>
          <w:szCs w:val="20"/>
        </w:rPr>
        <w:t>鄭戎傑，顏豪呈，謝耀慶，周書平，</w:t>
      </w:r>
      <w:r w:rsidRPr="00512759">
        <w:rPr>
          <w:rFonts w:eastAsia="新細明體"/>
          <w:sz w:val="20"/>
          <w:szCs w:val="20"/>
        </w:rPr>
        <w:t xml:space="preserve"> </w:t>
      </w:r>
      <w:proofErr w:type="gramStart"/>
      <w:r w:rsidRPr="00512759">
        <w:rPr>
          <w:rFonts w:eastAsia="新細明體"/>
          <w:sz w:val="20"/>
          <w:szCs w:val="20"/>
        </w:rPr>
        <w:t>莫清賢</w:t>
      </w:r>
      <w:proofErr w:type="gramEnd"/>
      <w:r w:rsidRPr="00512759">
        <w:rPr>
          <w:rFonts w:eastAsia="新細明體"/>
          <w:sz w:val="20"/>
          <w:szCs w:val="20"/>
        </w:rPr>
        <w:t>，</w:t>
      </w:r>
      <w:proofErr w:type="gramStart"/>
      <w:r w:rsidRPr="00512759">
        <w:rPr>
          <w:rFonts w:eastAsia="新細明體"/>
          <w:sz w:val="20"/>
          <w:szCs w:val="20"/>
        </w:rPr>
        <w:t>”</w:t>
      </w:r>
      <w:proofErr w:type="gramEnd"/>
      <w:r w:rsidRPr="00512759">
        <w:rPr>
          <w:rFonts w:eastAsia="新細明體"/>
          <w:sz w:val="20"/>
          <w:szCs w:val="20"/>
        </w:rPr>
        <w:t xml:space="preserve"> </w:t>
      </w:r>
      <w:r w:rsidRPr="00512759">
        <w:rPr>
          <w:rFonts w:eastAsia="新細明體"/>
          <w:sz w:val="20"/>
          <w:szCs w:val="20"/>
        </w:rPr>
        <w:t>鉛酸電池脈衝充電特性研究</w:t>
      </w:r>
      <w:proofErr w:type="gramStart"/>
      <w:r w:rsidRPr="00512759">
        <w:rPr>
          <w:rFonts w:eastAsia="新細明體"/>
          <w:sz w:val="20"/>
          <w:szCs w:val="20"/>
        </w:rPr>
        <w:t>”</w:t>
      </w:r>
      <w:proofErr w:type="gramEnd"/>
      <w:r w:rsidRPr="00512759">
        <w:rPr>
          <w:rFonts w:eastAsia="新細明體"/>
          <w:sz w:val="20"/>
          <w:szCs w:val="20"/>
        </w:rPr>
        <w:t>，</w:t>
      </w:r>
      <w:r w:rsidRPr="00512759">
        <w:rPr>
          <w:rFonts w:eastAsia="新細明體"/>
          <w:sz w:val="20"/>
          <w:szCs w:val="20"/>
        </w:rPr>
        <w:t xml:space="preserve"> </w:t>
      </w:r>
      <w:r w:rsidRPr="00512759">
        <w:rPr>
          <w:rFonts w:eastAsia="新細明體"/>
          <w:sz w:val="20"/>
          <w:szCs w:val="20"/>
        </w:rPr>
        <w:t>第二屆台灣電力電子研討會，</w:t>
      </w:r>
      <w:r w:rsidRPr="00512759">
        <w:rPr>
          <w:rFonts w:eastAsia="新細明體"/>
          <w:sz w:val="20"/>
          <w:szCs w:val="20"/>
        </w:rPr>
        <w:t>pp.382-387</w:t>
      </w:r>
      <w:r w:rsidRPr="00512759">
        <w:rPr>
          <w:rFonts w:eastAsia="新細明體"/>
          <w:sz w:val="20"/>
          <w:szCs w:val="20"/>
        </w:rPr>
        <w:t>。</w:t>
      </w:r>
    </w:p>
    <w:p w:rsidR="001106C7" w:rsidRPr="00512759" w:rsidRDefault="001106C7" w:rsidP="001106C7">
      <w:pPr>
        <w:spacing w:line="240" w:lineRule="auto"/>
        <w:ind w:left="304" w:hangingChars="152" w:hanging="304"/>
        <w:rPr>
          <w:rFonts w:eastAsia="新細明體"/>
          <w:sz w:val="20"/>
          <w:szCs w:val="20"/>
        </w:rPr>
      </w:pPr>
      <w:r w:rsidRPr="00512759">
        <w:rPr>
          <w:rFonts w:eastAsia="新細明體"/>
          <w:sz w:val="20"/>
          <w:szCs w:val="20"/>
        </w:rPr>
        <w:t>[</w:t>
      </w:r>
      <w:r w:rsidRPr="00512759">
        <w:rPr>
          <w:rFonts w:eastAsia="新細明體"/>
          <w:sz w:val="20"/>
          <w:szCs w:val="20"/>
        </w:rPr>
        <w:t>5</w:t>
      </w:r>
      <w:r w:rsidRPr="00512759">
        <w:rPr>
          <w:rFonts w:eastAsia="新細明體"/>
          <w:sz w:val="20"/>
          <w:szCs w:val="20"/>
        </w:rPr>
        <w:t>]</w:t>
      </w:r>
      <w:proofErr w:type="gramStart"/>
      <w:r w:rsidRPr="00512759">
        <w:rPr>
          <w:rFonts w:eastAsia="新細明體"/>
          <w:sz w:val="20"/>
          <w:szCs w:val="20"/>
        </w:rPr>
        <w:t>郭迺</w:t>
      </w:r>
      <w:proofErr w:type="gramEnd"/>
      <w:r w:rsidRPr="00512759">
        <w:rPr>
          <w:rFonts w:eastAsia="新細明體"/>
          <w:sz w:val="20"/>
          <w:szCs w:val="20"/>
        </w:rPr>
        <w:t>鋒，楊浩彥，林政勳，方文秀，</w:t>
      </w:r>
      <w:r w:rsidRPr="00512759">
        <w:rPr>
          <w:rFonts w:eastAsia="新細明體"/>
          <w:sz w:val="20"/>
          <w:szCs w:val="20"/>
        </w:rPr>
        <w:t>2011</w:t>
      </w:r>
      <w:r w:rsidRPr="00512759">
        <w:rPr>
          <w:rFonts w:eastAsia="新細明體"/>
          <w:sz w:val="20"/>
          <w:szCs w:val="20"/>
        </w:rPr>
        <w:t>，</w:t>
      </w:r>
      <w:r w:rsidRPr="00512759">
        <w:rPr>
          <w:rFonts w:eastAsia="新細明體"/>
          <w:sz w:val="20"/>
          <w:szCs w:val="20"/>
        </w:rPr>
        <w:t>"</w:t>
      </w:r>
      <w:r w:rsidRPr="00512759">
        <w:rPr>
          <w:rFonts w:eastAsia="新細明體"/>
          <w:sz w:val="20"/>
          <w:szCs w:val="20"/>
        </w:rPr>
        <w:t>鋰電池產業對台灣經濟發展影響的研究</w:t>
      </w:r>
      <w:r w:rsidRPr="00512759">
        <w:rPr>
          <w:rFonts w:eastAsia="新細明體"/>
          <w:sz w:val="20"/>
          <w:szCs w:val="20"/>
        </w:rPr>
        <w:t>"</w:t>
      </w:r>
    </w:p>
    <w:p w:rsidR="001106C7" w:rsidRPr="00512759" w:rsidRDefault="001106C7" w:rsidP="001106C7">
      <w:pPr>
        <w:spacing w:line="240" w:lineRule="auto"/>
        <w:ind w:left="304" w:hangingChars="152" w:hanging="304"/>
        <w:rPr>
          <w:rFonts w:eastAsia="新細明體"/>
          <w:sz w:val="20"/>
          <w:szCs w:val="20"/>
        </w:rPr>
      </w:pPr>
      <w:r w:rsidRPr="00512759">
        <w:rPr>
          <w:rFonts w:eastAsia="新細明體"/>
          <w:sz w:val="20"/>
          <w:szCs w:val="20"/>
        </w:rPr>
        <w:t>[</w:t>
      </w:r>
      <w:r w:rsidRPr="00512759">
        <w:rPr>
          <w:rFonts w:eastAsia="新細明體"/>
          <w:sz w:val="20"/>
          <w:szCs w:val="20"/>
        </w:rPr>
        <w:t>6</w:t>
      </w:r>
      <w:r w:rsidRPr="00512759">
        <w:rPr>
          <w:rFonts w:eastAsia="新細明體"/>
          <w:sz w:val="20"/>
          <w:szCs w:val="20"/>
        </w:rPr>
        <w:t>]</w:t>
      </w:r>
      <w:r w:rsidRPr="00512759">
        <w:rPr>
          <w:rFonts w:eastAsia="新細明體"/>
          <w:sz w:val="20"/>
          <w:szCs w:val="20"/>
        </w:rPr>
        <w:t>黃慶坪，</w:t>
      </w:r>
      <w:r w:rsidRPr="00512759">
        <w:rPr>
          <w:rFonts w:eastAsia="新細明體"/>
          <w:sz w:val="20"/>
          <w:szCs w:val="20"/>
        </w:rPr>
        <w:t>2008</w:t>
      </w:r>
      <w:r w:rsidRPr="00512759">
        <w:rPr>
          <w:rFonts w:eastAsia="新細明體"/>
          <w:sz w:val="20"/>
          <w:szCs w:val="20"/>
        </w:rPr>
        <w:t>，</w:t>
      </w:r>
      <w:proofErr w:type="gramStart"/>
      <w:r w:rsidRPr="00512759">
        <w:rPr>
          <w:rFonts w:eastAsia="新細明體"/>
          <w:sz w:val="20"/>
          <w:szCs w:val="20"/>
        </w:rPr>
        <w:t>”</w:t>
      </w:r>
      <w:r w:rsidRPr="00512759">
        <w:rPr>
          <w:rFonts w:eastAsia="新細明體"/>
          <w:sz w:val="20"/>
          <w:szCs w:val="20"/>
        </w:rPr>
        <w:t>鋰鐵電池</w:t>
      </w:r>
      <w:proofErr w:type="gramEnd"/>
      <w:r w:rsidRPr="00512759">
        <w:rPr>
          <w:rFonts w:eastAsia="新細明體"/>
          <w:sz w:val="20"/>
          <w:szCs w:val="20"/>
        </w:rPr>
        <w:t>於汽車起動之研究</w:t>
      </w:r>
      <w:proofErr w:type="gramStart"/>
      <w:r w:rsidRPr="00512759">
        <w:rPr>
          <w:rFonts w:eastAsia="新細明體"/>
          <w:sz w:val="20"/>
          <w:szCs w:val="20"/>
        </w:rPr>
        <w:t>”</w:t>
      </w:r>
      <w:proofErr w:type="gramEnd"/>
      <w:r w:rsidRPr="00512759">
        <w:rPr>
          <w:rFonts w:eastAsia="新細明體"/>
          <w:sz w:val="20"/>
          <w:szCs w:val="20"/>
        </w:rPr>
        <w:t>，國立彰化師範大學電機工程系碩士論文。</w:t>
      </w:r>
    </w:p>
    <w:p w:rsidR="001106C7" w:rsidRPr="00512759" w:rsidRDefault="001106C7" w:rsidP="001106C7">
      <w:pPr>
        <w:spacing w:line="240" w:lineRule="auto"/>
        <w:ind w:left="304" w:hangingChars="152" w:hanging="304"/>
        <w:rPr>
          <w:rFonts w:eastAsia="新細明體"/>
          <w:sz w:val="20"/>
          <w:szCs w:val="20"/>
        </w:rPr>
      </w:pPr>
      <w:r w:rsidRPr="00512759">
        <w:rPr>
          <w:rFonts w:eastAsia="新細明體"/>
          <w:sz w:val="20"/>
          <w:szCs w:val="20"/>
        </w:rPr>
        <w:t>[7</w:t>
      </w:r>
      <w:r w:rsidRPr="00512759">
        <w:rPr>
          <w:rFonts w:eastAsia="新細明體"/>
          <w:sz w:val="20"/>
          <w:szCs w:val="20"/>
        </w:rPr>
        <w:t>]</w:t>
      </w:r>
      <w:r w:rsidRPr="00512759">
        <w:rPr>
          <w:rFonts w:eastAsia="新細明體"/>
          <w:sz w:val="20"/>
          <w:szCs w:val="20"/>
        </w:rPr>
        <w:t>台灣湯淺股份有限公司，</w:t>
      </w:r>
      <w:r w:rsidRPr="00512759">
        <w:rPr>
          <w:rFonts w:eastAsia="新細明體"/>
          <w:sz w:val="20"/>
          <w:szCs w:val="20"/>
        </w:rPr>
        <w:t>2004</w:t>
      </w:r>
      <w:r w:rsidRPr="00512759">
        <w:rPr>
          <w:rFonts w:eastAsia="新細明體"/>
          <w:sz w:val="20"/>
          <w:szCs w:val="20"/>
        </w:rPr>
        <w:t>，技術手冊。</w:t>
      </w:r>
    </w:p>
    <w:p w:rsidR="001106C7" w:rsidRPr="00512759" w:rsidRDefault="001106C7" w:rsidP="001106C7">
      <w:pPr>
        <w:spacing w:line="240" w:lineRule="auto"/>
        <w:ind w:left="304" w:hangingChars="152" w:hanging="304"/>
        <w:rPr>
          <w:rFonts w:eastAsia="新細明體"/>
          <w:sz w:val="20"/>
          <w:szCs w:val="20"/>
        </w:rPr>
      </w:pPr>
      <w:r w:rsidRPr="00512759">
        <w:rPr>
          <w:rFonts w:eastAsia="新細明體"/>
          <w:sz w:val="20"/>
          <w:szCs w:val="20"/>
        </w:rPr>
        <w:t>[8</w:t>
      </w:r>
      <w:r w:rsidRPr="00512759">
        <w:rPr>
          <w:rFonts w:eastAsia="新細明體"/>
          <w:sz w:val="20"/>
          <w:szCs w:val="20"/>
        </w:rPr>
        <w:t>]</w:t>
      </w:r>
      <w:r w:rsidRPr="00512759">
        <w:rPr>
          <w:rFonts w:eastAsia="新細明體"/>
          <w:sz w:val="20"/>
          <w:szCs w:val="20"/>
        </w:rPr>
        <w:t>王德緯，</w:t>
      </w:r>
      <w:r w:rsidRPr="00512759">
        <w:rPr>
          <w:rFonts w:eastAsia="新細明體"/>
          <w:sz w:val="20"/>
          <w:szCs w:val="20"/>
        </w:rPr>
        <w:t>2007</w:t>
      </w:r>
      <w:r w:rsidRPr="00512759">
        <w:rPr>
          <w:rFonts w:eastAsia="新細明體"/>
          <w:sz w:val="20"/>
          <w:szCs w:val="20"/>
        </w:rPr>
        <w:t>，</w:t>
      </w:r>
      <w:proofErr w:type="gramStart"/>
      <w:r w:rsidRPr="00512759">
        <w:rPr>
          <w:rFonts w:eastAsia="新細明體"/>
          <w:sz w:val="20"/>
          <w:szCs w:val="20"/>
        </w:rPr>
        <w:t>”</w:t>
      </w:r>
      <w:proofErr w:type="gramEnd"/>
      <w:r w:rsidRPr="00512759">
        <w:rPr>
          <w:rFonts w:eastAsia="新細明體"/>
          <w:sz w:val="20"/>
          <w:szCs w:val="20"/>
        </w:rPr>
        <w:t>具能量回送與電量</w:t>
      </w:r>
      <w:proofErr w:type="gramStart"/>
      <w:r w:rsidRPr="00512759">
        <w:rPr>
          <w:rFonts w:eastAsia="新細明體"/>
          <w:sz w:val="20"/>
          <w:szCs w:val="20"/>
        </w:rPr>
        <w:t>估測之鉛酸</w:t>
      </w:r>
      <w:proofErr w:type="gramEnd"/>
      <w:r w:rsidRPr="00512759">
        <w:rPr>
          <w:rFonts w:eastAsia="新細明體"/>
          <w:sz w:val="20"/>
          <w:szCs w:val="20"/>
        </w:rPr>
        <w:t>電池充電器設計與實現</w:t>
      </w:r>
      <w:proofErr w:type="gramStart"/>
      <w:r w:rsidRPr="00512759">
        <w:rPr>
          <w:rFonts w:eastAsia="新細明體"/>
          <w:sz w:val="20"/>
          <w:szCs w:val="20"/>
        </w:rPr>
        <w:t>”</w:t>
      </w:r>
      <w:proofErr w:type="gramEnd"/>
      <w:r w:rsidRPr="00512759">
        <w:rPr>
          <w:rFonts w:eastAsia="新細明體"/>
          <w:sz w:val="20"/>
          <w:szCs w:val="20"/>
        </w:rPr>
        <w:t>，</w:t>
      </w:r>
      <w:r w:rsidRPr="00512759">
        <w:rPr>
          <w:rFonts w:eastAsia="新細明體"/>
          <w:sz w:val="20"/>
          <w:szCs w:val="20"/>
        </w:rPr>
        <w:t xml:space="preserve"> </w:t>
      </w:r>
      <w:r w:rsidRPr="00512759">
        <w:rPr>
          <w:rFonts w:eastAsia="新細明體"/>
          <w:sz w:val="20"/>
          <w:szCs w:val="20"/>
        </w:rPr>
        <w:t>國立中央大學電機工程研究所碩士論文</w:t>
      </w:r>
    </w:p>
    <w:p w:rsidR="001106C7" w:rsidRPr="00512759" w:rsidRDefault="001106C7" w:rsidP="001106C7">
      <w:pPr>
        <w:spacing w:line="240" w:lineRule="auto"/>
        <w:ind w:left="304" w:hangingChars="152" w:hanging="304"/>
        <w:rPr>
          <w:rFonts w:eastAsia="新細明體"/>
          <w:sz w:val="20"/>
          <w:szCs w:val="20"/>
        </w:rPr>
      </w:pPr>
      <w:r w:rsidRPr="00512759">
        <w:rPr>
          <w:rFonts w:eastAsia="新細明體"/>
          <w:sz w:val="20"/>
          <w:szCs w:val="20"/>
        </w:rPr>
        <w:t>[9]</w:t>
      </w:r>
      <w:r w:rsidRPr="00512759">
        <w:rPr>
          <w:rFonts w:eastAsia="新細明體"/>
          <w:sz w:val="20"/>
          <w:szCs w:val="20"/>
        </w:rPr>
        <w:t>張舜長，劉鈞宇，</w:t>
      </w:r>
      <w:r w:rsidRPr="00512759">
        <w:rPr>
          <w:rFonts w:eastAsia="新細明體"/>
          <w:sz w:val="20"/>
          <w:szCs w:val="20"/>
        </w:rPr>
        <w:t>2011</w:t>
      </w:r>
      <w:r w:rsidRPr="00512759">
        <w:rPr>
          <w:rFonts w:eastAsia="新細明體"/>
          <w:sz w:val="20"/>
          <w:szCs w:val="20"/>
        </w:rPr>
        <w:t>，</w:t>
      </w:r>
      <w:proofErr w:type="gramStart"/>
      <w:r w:rsidRPr="00512759">
        <w:rPr>
          <w:rFonts w:eastAsia="新細明體"/>
          <w:sz w:val="20"/>
          <w:szCs w:val="20"/>
        </w:rPr>
        <w:t>”</w:t>
      </w:r>
      <w:proofErr w:type="gramEnd"/>
      <w:r w:rsidRPr="00512759">
        <w:rPr>
          <w:rFonts w:eastAsia="新細明體"/>
          <w:sz w:val="20"/>
          <w:szCs w:val="20"/>
        </w:rPr>
        <w:t xml:space="preserve"> </w:t>
      </w:r>
      <w:r w:rsidRPr="00512759">
        <w:rPr>
          <w:rFonts w:eastAsia="新細明體"/>
          <w:sz w:val="20"/>
          <w:szCs w:val="20"/>
        </w:rPr>
        <w:t>串聯式</w:t>
      </w:r>
      <w:proofErr w:type="gramStart"/>
      <w:r w:rsidRPr="00512759">
        <w:rPr>
          <w:rFonts w:eastAsia="新細明體"/>
          <w:sz w:val="20"/>
          <w:szCs w:val="20"/>
        </w:rPr>
        <w:t>鋰</w:t>
      </w:r>
      <w:proofErr w:type="gramEnd"/>
      <w:r w:rsidRPr="00512759">
        <w:rPr>
          <w:rFonts w:eastAsia="新細明體"/>
          <w:sz w:val="20"/>
          <w:szCs w:val="20"/>
        </w:rPr>
        <w:t>電池組電能診斷管理系統之研究</w:t>
      </w:r>
      <w:r w:rsidRPr="00512759">
        <w:rPr>
          <w:rFonts w:eastAsia="新細明體"/>
          <w:sz w:val="20"/>
          <w:szCs w:val="20"/>
        </w:rPr>
        <w:t xml:space="preserve"> “</w:t>
      </w:r>
      <w:r w:rsidRPr="00512759">
        <w:rPr>
          <w:rFonts w:eastAsia="新細明體"/>
          <w:sz w:val="20"/>
          <w:szCs w:val="20"/>
        </w:rPr>
        <w:t>，科學與工程技術期刊，第七卷，第一期，頁</w:t>
      </w:r>
      <w:r w:rsidRPr="00512759">
        <w:rPr>
          <w:rFonts w:eastAsia="新細明體"/>
          <w:sz w:val="20"/>
          <w:szCs w:val="20"/>
        </w:rPr>
        <w:t>69-80</w:t>
      </w:r>
      <w:r w:rsidRPr="00512759">
        <w:rPr>
          <w:rFonts w:eastAsia="新細明體"/>
          <w:sz w:val="20"/>
          <w:szCs w:val="20"/>
        </w:rPr>
        <w:t>。</w:t>
      </w:r>
    </w:p>
    <w:p w:rsidR="001106C7" w:rsidRPr="00512759" w:rsidRDefault="001106C7" w:rsidP="001106C7">
      <w:pPr>
        <w:spacing w:line="240" w:lineRule="auto"/>
        <w:ind w:left="304" w:hangingChars="152" w:hanging="304"/>
        <w:rPr>
          <w:rFonts w:eastAsia="新細明體"/>
          <w:sz w:val="20"/>
          <w:szCs w:val="20"/>
        </w:rPr>
      </w:pPr>
      <w:r w:rsidRPr="00512759">
        <w:rPr>
          <w:rFonts w:eastAsia="新細明體"/>
          <w:sz w:val="20"/>
          <w:szCs w:val="20"/>
        </w:rPr>
        <w:t>[1</w:t>
      </w:r>
      <w:r w:rsidRPr="00512759">
        <w:rPr>
          <w:rFonts w:eastAsia="新細明體"/>
          <w:sz w:val="20"/>
          <w:szCs w:val="20"/>
        </w:rPr>
        <w:t>0]</w:t>
      </w:r>
      <w:r w:rsidRPr="00512759">
        <w:rPr>
          <w:rFonts w:eastAsia="新細明體"/>
          <w:sz w:val="20"/>
          <w:szCs w:val="20"/>
        </w:rPr>
        <w:t>黃靖雄，</w:t>
      </w:r>
      <w:r w:rsidRPr="00512759">
        <w:rPr>
          <w:rFonts w:eastAsia="新細明體"/>
          <w:sz w:val="20"/>
          <w:szCs w:val="20"/>
        </w:rPr>
        <w:t>2005</w:t>
      </w:r>
      <w:r w:rsidRPr="00512759">
        <w:rPr>
          <w:rFonts w:eastAsia="新細明體"/>
          <w:sz w:val="20"/>
          <w:szCs w:val="20"/>
        </w:rPr>
        <w:t>，</w:t>
      </w:r>
      <w:proofErr w:type="gramStart"/>
      <w:r w:rsidRPr="00512759">
        <w:rPr>
          <w:rFonts w:eastAsia="新細明體"/>
          <w:sz w:val="20"/>
          <w:szCs w:val="20"/>
        </w:rPr>
        <w:t>”</w:t>
      </w:r>
      <w:proofErr w:type="gramEnd"/>
      <w:r w:rsidRPr="00512759">
        <w:rPr>
          <w:rFonts w:eastAsia="新細明體"/>
          <w:sz w:val="20"/>
          <w:szCs w:val="20"/>
        </w:rPr>
        <w:t>汽車原理</w:t>
      </w:r>
      <w:r w:rsidRPr="00512759">
        <w:rPr>
          <w:rFonts w:eastAsia="新細明體"/>
          <w:sz w:val="20"/>
          <w:szCs w:val="20"/>
        </w:rPr>
        <w:t>(</w:t>
      </w:r>
      <w:r w:rsidRPr="00512759">
        <w:rPr>
          <w:rFonts w:eastAsia="新細明體"/>
          <w:sz w:val="20"/>
          <w:szCs w:val="20"/>
        </w:rPr>
        <w:t>修訂版</w:t>
      </w:r>
      <w:r w:rsidRPr="00512759">
        <w:rPr>
          <w:rFonts w:eastAsia="新細明體"/>
          <w:sz w:val="20"/>
          <w:szCs w:val="20"/>
        </w:rPr>
        <w:t>)</w:t>
      </w:r>
      <w:proofErr w:type="gramStart"/>
      <w:r w:rsidRPr="00512759">
        <w:rPr>
          <w:rFonts w:eastAsia="新細明體"/>
          <w:sz w:val="20"/>
          <w:szCs w:val="20"/>
        </w:rPr>
        <w:t>”</w:t>
      </w:r>
      <w:proofErr w:type="gramEnd"/>
      <w:r w:rsidRPr="00512759">
        <w:rPr>
          <w:rFonts w:eastAsia="新細明體"/>
          <w:sz w:val="20"/>
          <w:szCs w:val="20"/>
        </w:rPr>
        <w:t>全華科技圖書有限公司。</w:t>
      </w:r>
    </w:p>
    <w:p w:rsidR="001106C7" w:rsidRPr="00512759" w:rsidRDefault="001106C7" w:rsidP="001106C7">
      <w:pPr>
        <w:spacing w:line="240" w:lineRule="auto"/>
        <w:ind w:left="304" w:hangingChars="152" w:hanging="304"/>
        <w:rPr>
          <w:rFonts w:eastAsia="新細明體"/>
          <w:sz w:val="20"/>
          <w:szCs w:val="20"/>
        </w:rPr>
      </w:pPr>
      <w:r w:rsidRPr="00512759">
        <w:rPr>
          <w:rFonts w:eastAsia="新細明體"/>
          <w:sz w:val="20"/>
          <w:szCs w:val="20"/>
        </w:rPr>
        <w:t>[</w:t>
      </w:r>
      <w:r w:rsidRPr="00512759">
        <w:rPr>
          <w:rFonts w:eastAsia="新細明體"/>
          <w:sz w:val="20"/>
          <w:szCs w:val="20"/>
        </w:rPr>
        <w:t>11</w:t>
      </w:r>
      <w:r w:rsidRPr="00512759">
        <w:rPr>
          <w:rFonts w:eastAsia="新細明體"/>
          <w:sz w:val="20"/>
          <w:szCs w:val="20"/>
        </w:rPr>
        <w:t>]</w:t>
      </w:r>
      <w:r w:rsidRPr="00512759">
        <w:rPr>
          <w:rFonts w:eastAsia="新細明體"/>
          <w:sz w:val="20"/>
          <w:szCs w:val="20"/>
        </w:rPr>
        <w:t>李添財，</w:t>
      </w:r>
      <w:r w:rsidRPr="00512759">
        <w:rPr>
          <w:rFonts w:eastAsia="新細明體"/>
          <w:sz w:val="20"/>
          <w:szCs w:val="20"/>
        </w:rPr>
        <w:t>1998</w:t>
      </w:r>
      <w:r w:rsidRPr="00512759">
        <w:rPr>
          <w:rFonts w:eastAsia="新細明體"/>
          <w:sz w:val="20"/>
          <w:szCs w:val="20"/>
        </w:rPr>
        <w:t>，</w:t>
      </w:r>
      <w:proofErr w:type="gramStart"/>
      <w:r w:rsidRPr="00512759">
        <w:rPr>
          <w:rFonts w:eastAsia="新細明體"/>
          <w:sz w:val="20"/>
          <w:szCs w:val="20"/>
        </w:rPr>
        <w:t>”</w:t>
      </w:r>
      <w:proofErr w:type="gramEnd"/>
      <w:r w:rsidRPr="00512759">
        <w:rPr>
          <w:rFonts w:eastAsia="新細明體"/>
          <w:sz w:val="20"/>
          <w:szCs w:val="20"/>
        </w:rPr>
        <w:t>汽車電子學</w:t>
      </w:r>
      <w:proofErr w:type="gramStart"/>
      <w:r w:rsidRPr="00512759">
        <w:rPr>
          <w:rFonts w:eastAsia="新細明體"/>
          <w:sz w:val="20"/>
          <w:szCs w:val="20"/>
        </w:rPr>
        <w:t>”</w:t>
      </w:r>
      <w:proofErr w:type="gramEnd"/>
      <w:r w:rsidRPr="00512759">
        <w:rPr>
          <w:rFonts w:eastAsia="新細明體"/>
          <w:sz w:val="20"/>
          <w:szCs w:val="20"/>
        </w:rPr>
        <w:t>，全華科技圖書，台北。</w:t>
      </w:r>
    </w:p>
    <w:p w:rsidR="001106C7" w:rsidRPr="00512759" w:rsidRDefault="001106C7" w:rsidP="001106C7">
      <w:pPr>
        <w:spacing w:line="240" w:lineRule="auto"/>
        <w:ind w:left="304" w:hangingChars="152" w:hanging="304"/>
        <w:rPr>
          <w:rFonts w:eastAsia="新細明體"/>
          <w:sz w:val="20"/>
          <w:szCs w:val="20"/>
        </w:rPr>
      </w:pPr>
      <w:r w:rsidRPr="00512759">
        <w:rPr>
          <w:rFonts w:eastAsia="新細明體"/>
          <w:sz w:val="20"/>
          <w:szCs w:val="20"/>
        </w:rPr>
        <w:t>[12</w:t>
      </w:r>
      <w:r w:rsidRPr="00512759">
        <w:rPr>
          <w:rFonts w:eastAsia="新細明體"/>
          <w:sz w:val="20"/>
          <w:szCs w:val="20"/>
        </w:rPr>
        <w:t>]</w:t>
      </w:r>
      <w:r w:rsidRPr="00512759">
        <w:rPr>
          <w:rFonts w:eastAsia="新細明體"/>
          <w:sz w:val="20"/>
          <w:szCs w:val="20"/>
        </w:rPr>
        <w:t>李明駿，</w:t>
      </w:r>
      <w:r w:rsidRPr="00512759">
        <w:rPr>
          <w:rFonts w:eastAsia="新細明體"/>
          <w:sz w:val="20"/>
          <w:szCs w:val="20"/>
        </w:rPr>
        <w:t>2003</w:t>
      </w:r>
      <w:r w:rsidRPr="00512759">
        <w:rPr>
          <w:rFonts w:eastAsia="新細明體"/>
          <w:sz w:val="20"/>
          <w:szCs w:val="20"/>
        </w:rPr>
        <w:t>，</w:t>
      </w:r>
      <w:r w:rsidRPr="00512759">
        <w:rPr>
          <w:rFonts w:eastAsia="新細明體"/>
          <w:sz w:val="20"/>
          <w:szCs w:val="20"/>
        </w:rPr>
        <w:t>"</w:t>
      </w:r>
      <w:r w:rsidRPr="00512759">
        <w:rPr>
          <w:rFonts w:eastAsia="新細明體"/>
          <w:sz w:val="20"/>
          <w:szCs w:val="20"/>
        </w:rPr>
        <w:t>鉛酸電池之快速充電技術研究</w:t>
      </w:r>
      <w:proofErr w:type="gramStart"/>
      <w:r w:rsidRPr="00512759">
        <w:rPr>
          <w:rFonts w:eastAsia="新細明體"/>
          <w:sz w:val="20"/>
          <w:szCs w:val="20"/>
        </w:rPr>
        <w:t>”</w:t>
      </w:r>
      <w:proofErr w:type="gramEnd"/>
      <w:r w:rsidRPr="00512759">
        <w:rPr>
          <w:rFonts w:eastAsia="新細明體"/>
          <w:sz w:val="20"/>
          <w:szCs w:val="20"/>
        </w:rPr>
        <w:t>國立中央大學電機工程研究所碩士論文。</w:t>
      </w:r>
    </w:p>
    <w:p w:rsidR="001106C7" w:rsidRPr="00512759" w:rsidRDefault="001106C7" w:rsidP="001106C7">
      <w:pPr>
        <w:spacing w:line="240" w:lineRule="auto"/>
        <w:ind w:left="304" w:hangingChars="152" w:hanging="304"/>
        <w:rPr>
          <w:rFonts w:eastAsia="新細明體"/>
          <w:sz w:val="20"/>
          <w:szCs w:val="20"/>
        </w:rPr>
      </w:pPr>
      <w:r w:rsidRPr="00512759">
        <w:rPr>
          <w:rFonts w:eastAsia="新細明體"/>
          <w:sz w:val="20"/>
          <w:szCs w:val="20"/>
        </w:rPr>
        <w:t>[</w:t>
      </w:r>
      <w:r w:rsidRPr="00512759">
        <w:rPr>
          <w:rFonts w:eastAsia="新細明體"/>
          <w:sz w:val="20"/>
          <w:szCs w:val="20"/>
        </w:rPr>
        <w:t>13</w:t>
      </w:r>
      <w:r w:rsidRPr="00512759">
        <w:rPr>
          <w:rFonts w:eastAsia="新細明體"/>
          <w:sz w:val="20"/>
          <w:szCs w:val="20"/>
        </w:rPr>
        <w:t>]K. A. Buckle and J. W. Luce, 1996</w:t>
      </w:r>
      <w:proofErr w:type="gramStart"/>
      <w:r w:rsidRPr="00512759">
        <w:rPr>
          <w:rFonts w:eastAsia="新細明體"/>
          <w:sz w:val="20"/>
          <w:szCs w:val="20"/>
        </w:rPr>
        <w:t>,“</w:t>
      </w:r>
      <w:proofErr w:type="gramEnd"/>
      <w:r w:rsidRPr="00512759">
        <w:rPr>
          <w:rFonts w:eastAsia="新細明體"/>
          <w:sz w:val="20"/>
          <w:szCs w:val="20"/>
        </w:rPr>
        <w:t>Battery vehicle charger design eliminates harmonic current generation”, Bringing Together Education, Science and Technology, 1996, pp. 561-564</w:t>
      </w:r>
      <w:r w:rsidRPr="00512759">
        <w:rPr>
          <w:rFonts w:eastAsia="新細明體"/>
          <w:sz w:val="20"/>
          <w:szCs w:val="20"/>
        </w:rPr>
        <w:t>。</w:t>
      </w:r>
    </w:p>
    <w:p w:rsidR="001106C7" w:rsidRPr="00512759" w:rsidRDefault="001106C7" w:rsidP="001106C7">
      <w:pPr>
        <w:spacing w:line="240" w:lineRule="auto"/>
        <w:ind w:left="304" w:hangingChars="152" w:hanging="304"/>
        <w:rPr>
          <w:rFonts w:eastAsia="新細明體"/>
          <w:sz w:val="20"/>
          <w:szCs w:val="20"/>
        </w:rPr>
      </w:pPr>
      <w:r w:rsidRPr="00512759">
        <w:rPr>
          <w:rFonts w:eastAsia="新細明體"/>
          <w:sz w:val="20"/>
          <w:szCs w:val="20"/>
        </w:rPr>
        <w:t>[</w:t>
      </w:r>
      <w:r w:rsidRPr="00512759">
        <w:rPr>
          <w:rFonts w:eastAsia="新細明體"/>
          <w:sz w:val="20"/>
          <w:szCs w:val="20"/>
        </w:rPr>
        <w:t>14</w:t>
      </w:r>
      <w:r w:rsidRPr="00512759">
        <w:rPr>
          <w:rFonts w:eastAsia="新細明體"/>
          <w:sz w:val="20"/>
          <w:szCs w:val="20"/>
        </w:rPr>
        <w:t xml:space="preserve">]John Wiley &amp; Sons </w:t>
      </w:r>
      <w:proofErr w:type="spellStart"/>
      <w:r w:rsidRPr="00512759">
        <w:rPr>
          <w:rFonts w:eastAsia="新細明體"/>
          <w:sz w:val="20"/>
          <w:szCs w:val="20"/>
        </w:rPr>
        <w:t>Ltd</w:t>
      </w:r>
      <w:proofErr w:type="gramStart"/>
      <w:r w:rsidRPr="00512759">
        <w:rPr>
          <w:rFonts w:eastAsia="新細明體"/>
          <w:sz w:val="20"/>
          <w:szCs w:val="20"/>
        </w:rPr>
        <w:t>,“</w:t>
      </w:r>
      <w:proofErr w:type="gramEnd"/>
      <w:r w:rsidRPr="00512759">
        <w:rPr>
          <w:rFonts w:eastAsia="新細明體"/>
          <w:sz w:val="20"/>
          <w:szCs w:val="20"/>
        </w:rPr>
        <w:t>Automotive</w:t>
      </w:r>
      <w:proofErr w:type="spellEnd"/>
      <w:r w:rsidRPr="00512759">
        <w:rPr>
          <w:rFonts w:eastAsia="新細明體"/>
          <w:sz w:val="20"/>
          <w:szCs w:val="20"/>
        </w:rPr>
        <w:t xml:space="preserve"> Electrics Automotive Electronics 5th “, Robert Bosch GmbH, July 2007.</w:t>
      </w:r>
    </w:p>
    <w:p w:rsidR="00D06FE7" w:rsidRPr="00512759" w:rsidRDefault="001106C7" w:rsidP="001F4C2B">
      <w:pPr>
        <w:spacing w:line="240" w:lineRule="auto"/>
        <w:ind w:left="304" w:hangingChars="152" w:hanging="304"/>
        <w:rPr>
          <w:rFonts w:eastAsia="新細明體"/>
          <w:sz w:val="20"/>
          <w:szCs w:val="20"/>
        </w:rPr>
      </w:pPr>
      <w:r w:rsidRPr="00512759">
        <w:rPr>
          <w:rFonts w:eastAsia="新細明體"/>
          <w:sz w:val="20"/>
          <w:szCs w:val="20"/>
        </w:rPr>
        <w:t>[15</w:t>
      </w:r>
      <w:r w:rsidRPr="00512759">
        <w:rPr>
          <w:rFonts w:eastAsia="新細明體"/>
          <w:sz w:val="20"/>
          <w:szCs w:val="20"/>
        </w:rPr>
        <w:t xml:space="preserve">]Kenji Nakano, </w:t>
      </w:r>
      <w:proofErr w:type="spellStart"/>
      <w:r w:rsidRPr="00512759">
        <w:rPr>
          <w:rFonts w:eastAsia="新細明體"/>
          <w:sz w:val="20"/>
          <w:szCs w:val="20"/>
        </w:rPr>
        <w:t>Syuhei</w:t>
      </w:r>
      <w:proofErr w:type="spellEnd"/>
      <w:r w:rsidRPr="00512759">
        <w:rPr>
          <w:rFonts w:eastAsia="新細明體"/>
          <w:sz w:val="20"/>
          <w:szCs w:val="20"/>
        </w:rPr>
        <w:t xml:space="preserve"> </w:t>
      </w:r>
      <w:proofErr w:type="spellStart"/>
      <w:r w:rsidRPr="00512759">
        <w:rPr>
          <w:rFonts w:eastAsia="新細明體"/>
          <w:sz w:val="20"/>
          <w:szCs w:val="20"/>
        </w:rPr>
        <w:t>Takeshima</w:t>
      </w:r>
      <w:proofErr w:type="spellEnd"/>
      <w:r w:rsidRPr="00512759">
        <w:rPr>
          <w:rFonts w:eastAsia="新細明體"/>
          <w:sz w:val="20"/>
          <w:szCs w:val="20"/>
        </w:rPr>
        <w:t>, Jun Furukawa,2007,</w:t>
      </w:r>
      <w:proofErr w:type="gramStart"/>
      <w:r w:rsidRPr="00512759">
        <w:rPr>
          <w:rFonts w:eastAsia="新細明體"/>
          <w:sz w:val="20"/>
          <w:szCs w:val="20"/>
        </w:rPr>
        <w:t>”</w:t>
      </w:r>
      <w:proofErr w:type="gramEnd"/>
      <w:r w:rsidRPr="00512759">
        <w:rPr>
          <w:rFonts w:eastAsia="新細明體"/>
          <w:sz w:val="20"/>
          <w:szCs w:val="20"/>
        </w:rPr>
        <w:t xml:space="preserve"> Technological Trends in Lead-Acid Batteries for Automotive Applications</w:t>
      </w:r>
      <w:proofErr w:type="gramStart"/>
      <w:r w:rsidRPr="00512759">
        <w:rPr>
          <w:rFonts w:eastAsia="新細明體"/>
          <w:sz w:val="20"/>
          <w:szCs w:val="20"/>
        </w:rPr>
        <w:t>”</w:t>
      </w:r>
      <w:proofErr w:type="gramEnd"/>
      <w:r w:rsidRPr="00512759">
        <w:rPr>
          <w:rFonts w:eastAsia="新細明體"/>
          <w:sz w:val="20"/>
          <w:szCs w:val="20"/>
        </w:rPr>
        <w:t>, Furukawa Battery</w:t>
      </w:r>
      <w:r w:rsidRPr="00512759">
        <w:rPr>
          <w:rFonts w:eastAsia="新細明體"/>
          <w:sz w:val="20"/>
          <w:szCs w:val="20"/>
        </w:rPr>
        <w:t>。</w:t>
      </w:r>
    </w:p>
    <w:p w:rsidR="00D06FE7" w:rsidRDefault="00D06FE7" w:rsidP="00D06FE7">
      <w:pPr>
        <w:spacing w:line="240" w:lineRule="auto"/>
        <w:ind w:firstLineChars="0" w:firstLine="0"/>
        <w:rPr>
          <w:rFonts w:eastAsia="新細明體"/>
          <w:sz w:val="20"/>
          <w:szCs w:val="20"/>
        </w:rPr>
        <w:sectPr w:rsidR="00D06FE7" w:rsidSect="00332058">
          <w:pgSz w:w="11906" w:h="16838" w:code="9"/>
          <w:pgMar w:top="1418" w:right="1418" w:bottom="1418" w:left="1418" w:header="851" w:footer="992" w:gutter="0"/>
          <w:cols w:space="425"/>
          <w:docGrid w:type="lines" w:linePitch="360"/>
        </w:sectPr>
      </w:pPr>
    </w:p>
    <w:p w:rsidR="00D06FE7" w:rsidRPr="00DA207F" w:rsidRDefault="00D06FE7" w:rsidP="00D06FE7">
      <w:pPr>
        <w:adjustRightInd w:val="0"/>
        <w:snapToGrid w:val="0"/>
        <w:ind w:firstLineChars="0" w:firstLine="0"/>
        <w:jc w:val="center"/>
        <w:textAlignment w:val="baseline"/>
        <w:rPr>
          <w:rFonts w:eastAsia="新細明體"/>
          <w:color w:val="000000"/>
          <w:kern w:val="0"/>
          <w:szCs w:val="28"/>
        </w:rPr>
      </w:pPr>
      <w:r w:rsidRPr="00DA207F">
        <w:rPr>
          <w:rFonts w:eastAsia="新細明體"/>
          <w:color w:val="000000"/>
          <w:kern w:val="0"/>
          <w:szCs w:val="28"/>
        </w:rPr>
        <w:lastRenderedPageBreak/>
        <w:t>Effects of performance using the startup type lithium iron batteries for gasoline engines</w:t>
      </w:r>
    </w:p>
    <w:p w:rsidR="00D06FE7" w:rsidRPr="00D06FE7" w:rsidRDefault="00D06FE7" w:rsidP="00D06FE7">
      <w:pPr>
        <w:spacing w:line="240" w:lineRule="auto"/>
        <w:ind w:firstLineChars="0" w:firstLine="0"/>
        <w:jc w:val="center"/>
        <w:rPr>
          <w:rFonts w:hint="eastAsia"/>
          <w:color w:val="000000"/>
          <w:sz w:val="24"/>
          <w:szCs w:val="24"/>
          <w:shd w:val="clear" w:color="auto" w:fill="F7F7F7"/>
          <w:vertAlign w:val="superscript"/>
        </w:rPr>
      </w:pPr>
      <w:hyperlink r:id="rId39" w:tgtFrame="_blank" w:history="1">
        <w:r w:rsidRPr="00D06FE7">
          <w:rPr>
            <w:rStyle w:val="a9"/>
            <w:color w:val="000000"/>
            <w:sz w:val="24"/>
            <w:szCs w:val="24"/>
            <w:u w:val="none"/>
            <w:shd w:val="clear" w:color="auto" w:fill="FFFFFF"/>
          </w:rPr>
          <w:t>Jou Yu</w:t>
        </w:r>
      </w:hyperlink>
      <w:r w:rsidRPr="00D06FE7">
        <w:rPr>
          <w:color w:val="000000"/>
          <w:sz w:val="24"/>
          <w:szCs w:val="24"/>
        </w:rPr>
        <w:t xml:space="preserve"> Lai</w:t>
      </w:r>
      <w:r w:rsidRPr="00D06FE7">
        <w:rPr>
          <w:color w:val="000000"/>
          <w:sz w:val="24"/>
          <w:szCs w:val="24"/>
          <w:vertAlign w:val="superscript"/>
        </w:rPr>
        <w:t>1</w:t>
      </w:r>
      <w:proofErr w:type="gramStart"/>
      <w:r w:rsidRPr="00D06FE7">
        <w:rPr>
          <w:color w:val="000000"/>
          <w:sz w:val="24"/>
          <w:szCs w:val="24"/>
          <w:vertAlign w:val="superscript"/>
        </w:rPr>
        <w:t xml:space="preserve">*  </w:t>
      </w:r>
      <w:r w:rsidRPr="00D06FE7">
        <w:rPr>
          <w:rFonts w:eastAsia="新細明體"/>
          <w:color w:val="000000"/>
          <w:sz w:val="24"/>
          <w:szCs w:val="24"/>
        </w:rPr>
        <w:t>Yu</w:t>
      </w:r>
      <w:proofErr w:type="gramEnd"/>
      <w:r w:rsidRPr="00D06FE7">
        <w:rPr>
          <w:rFonts w:eastAsia="新細明體"/>
          <w:color w:val="000000"/>
          <w:sz w:val="24"/>
          <w:szCs w:val="24"/>
        </w:rPr>
        <w:t xml:space="preserve"> </w:t>
      </w:r>
      <w:proofErr w:type="spellStart"/>
      <w:r w:rsidRPr="00D06FE7">
        <w:rPr>
          <w:rFonts w:eastAsia="新細明體"/>
          <w:color w:val="000000"/>
          <w:sz w:val="24"/>
          <w:szCs w:val="24"/>
        </w:rPr>
        <w:t>Cun</w:t>
      </w:r>
      <w:proofErr w:type="spellEnd"/>
      <w:r w:rsidRPr="00D06FE7">
        <w:rPr>
          <w:rFonts w:eastAsia="新細明體"/>
          <w:color w:val="000000"/>
          <w:sz w:val="24"/>
          <w:szCs w:val="24"/>
        </w:rPr>
        <w:t xml:space="preserve"> Lin</w:t>
      </w:r>
      <w:r w:rsidRPr="00D06FE7">
        <w:rPr>
          <w:rFonts w:eastAsia="新細明體"/>
          <w:color w:val="000000"/>
          <w:sz w:val="24"/>
          <w:szCs w:val="24"/>
          <w:vertAlign w:val="superscript"/>
        </w:rPr>
        <w:t>2</w:t>
      </w:r>
      <w:r w:rsidRPr="00D06FE7">
        <w:rPr>
          <w:color w:val="000000"/>
          <w:sz w:val="24"/>
          <w:szCs w:val="24"/>
          <w:shd w:val="clear" w:color="auto" w:fill="F7F7F7"/>
        </w:rPr>
        <w:t xml:space="preserve"> </w:t>
      </w:r>
      <w:proofErr w:type="spellStart"/>
      <w:r w:rsidRPr="00D06FE7">
        <w:rPr>
          <w:color w:val="000000"/>
          <w:sz w:val="24"/>
          <w:szCs w:val="24"/>
          <w:shd w:val="clear" w:color="auto" w:fill="F7F7F7"/>
        </w:rPr>
        <w:t>Tsung</w:t>
      </w:r>
      <w:proofErr w:type="spellEnd"/>
      <w:r w:rsidRPr="00D06FE7">
        <w:rPr>
          <w:color w:val="000000"/>
          <w:sz w:val="24"/>
          <w:szCs w:val="24"/>
          <w:shd w:val="clear" w:color="auto" w:fill="F7F7F7"/>
        </w:rPr>
        <w:t xml:space="preserve"> Ming Yang</w:t>
      </w:r>
      <w:r w:rsidRPr="00D06FE7">
        <w:rPr>
          <w:color w:val="000000"/>
          <w:sz w:val="24"/>
          <w:szCs w:val="24"/>
          <w:shd w:val="clear" w:color="auto" w:fill="F7F7F7"/>
          <w:vertAlign w:val="superscript"/>
        </w:rPr>
        <w:t>2</w:t>
      </w:r>
    </w:p>
    <w:p w:rsidR="00D06FE7" w:rsidRDefault="00D06FE7" w:rsidP="00D06FE7">
      <w:pPr>
        <w:spacing w:line="240" w:lineRule="auto"/>
        <w:ind w:firstLineChars="0" w:firstLine="0"/>
        <w:jc w:val="center"/>
        <w:rPr>
          <w:rFonts w:eastAsia="新細明體" w:hint="eastAsia"/>
          <w:color w:val="000000"/>
          <w:sz w:val="24"/>
          <w:szCs w:val="24"/>
        </w:rPr>
      </w:pPr>
      <w:r>
        <w:rPr>
          <w:rFonts w:eastAsia="新細明體" w:hint="eastAsia"/>
          <w:color w:val="000000"/>
          <w:sz w:val="24"/>
          <w:szCs w:val="24"/>
          <w:vertAlign w:val="superscript"/>
        </w:rPr>
        <w:t>1</w:t>
      </w:r>
      <w:r w:rsidRPr="00A13FB1">
        <w:rPr>
          <w:rFonts w:eastAsia="新細明體"/>
          <w:color w:val="000000"/>
          <w:sz w:val="24"/>
          <w:szCs w:val="24"/>
        </w:rPr>
        <w:t xml:space="preserve">Nan Kai University </w:t>
      </w:r>
      <w:proofErr w:type="gramStart"/>
      <w:r w:rsidRPr="00A13FB1">
        <w:rPr>
          <w:rFonts w:eastAsia="新細明體"/>
          <w:color w:val="000000"/>
          <w:sz w:val="24"/>
          <w:szCs w:val="24"/>
        </w:rPr>
        <w:t>Of</w:t>
      </w:r>
      <w:proofErr w:type="gramEnd"/>
      <w:r w:rsidRPr="00A13FB1">
        <w:rPr>
          <w:rFonts w:eastAsia="新細明體"/>
          <w:color w:val="000000"/>
          <w:sz w:val="24"/>
          <w:szCs w:val="24"/>
        </w:rPr>
        <w:t xml:space="preserve"> Technology</w:t>
      </w:r>
    </w:p>
    <w:p w:rsidR="00D06FE7" w:rsidRDefault="00D06FE7" w:rsidP="00D06FE7">
      <w:pPr>
        <w:tabs>
          <w:tab w:val="left" w:pos="2730"/>
          <w:tab w:val="center" w:pos="4535"/>
        </w:tabs>
        <w:spacing w:line="240" w:lineRule="auto"/>
        <w:ind w:firstLineChars="0" w:firstLine="0"/>
        <w:jc w:val="center"/>
        <w:rPr>
          <w:rFonts w:eastAsia="新細明體" w:hint="eastAsia"/>
          <w:color w:val="000000"/>
          <w:sz w:val="24"/>
          <w:szCs w:val="24"/>
        </w:rPr>
      </w:pPr>
      <w:r>
        <w:rPr>
          <w:rFonts w:eastAsia="新細明體" w:hint="eastAsia"/>
          <w:color w:val="000000"/>
          <w:sz w:val="24"/>
          <w:szCs w:val="24"/>
          <w:vertAlign w:val="superscript"/>
        </w:rPr>
        <w:t>2</w:t>
      </w:r>
      <w:r w:rsidRPr="00A13FB1">
        <w:rPr>
          <w:rFonts w:eastAsia="新細明體"/>
          <w:color w:val="000000"/>
          <w:sz w:val="24"/>
          <w:szCs w:val="24"/>
        </w:rPr>
        <w:t xml:space="preserve">Nan Kai University </w:t>
      </w:r>
      <w:proofErr w:type="gramStart"/>
      <w:r w:rsidRPr="00A13FB1">
        <w:rPr>
          <w:rFonts w:eastAsia="新細明體"/>
          <w:color w:val="000000"/>
          <w:sz w:val="24"/>
          <w:szCs w:val="24"/>
        </w:rPr>
        <w:t>Of</w:t>
      </w:r>
      <w:proofErr w:type="gramEnd"/>
      <w:r w:rsidRPr="00A13FB1">
        <w:rPr>
          <w:rFonts w:eastAsia="新細明體"/>
          <w:color w:val="000000"/>
          <w:sz w:val="24"/>
          <w:szCs w:val="24"/>
        </w:rPr>
        <w:t xml:space="preserve"> Technology</w:t>
      </w:r>
    </w:p>
    <w:p w:rsidR="00D06FE7" w:rsidRPr="00D06FE7" w:rsidRDefault="00D06FE7" w:rsidP="00D06FE7">
      <w:pPr>
        <w:spacing w:line="240" w:lineRule="auto"/>
        <w:ind w:firstLineChars="0" w:firstLine="0"/>
        <w:jc w:val="center"/>
        <w:rPr>
          <w:rFonts w:eastAsia="新細明體"/>
          <w:color w:val="000000"/>
          <w:sz w:val="24"/>
          <w:szCs w:val="24"/>
        </w:rPr>
      </w:pPr>
      <w:r>
        <w:rPr>
          <w:rFonts w:eastAsia="新細明體" w:hint="eastAsia"/>
          <w:color w:val="000000"/>
          <w:sz w:val="24"/>
          <w:szCs w:val="24"/>
          <w:vertAlign w:val="superscript"/>
        </w:rPr>
        <w:t>2</w:t>
      </w:r>
      <w:r w:rsidRPr="00A13FB1">
        <w:rPr>
          <w:rFonts w:eastAsia="新細明體"/>
          <w:color w:val="000000"/>
          <w:sz w:val="24"/>
          <w:szCs w:val="24"/>
        </w:rPr>
        <w:t xml:space="preserve">Nan Kai University </w:t>
      </w:r>
      <w:proofErr w:type="gramStart"/>
      <w:r w:rsidRPr="00A13FB1">
        <w:rPr>
          <w:rFonts w:eastAsia="新細明體"/>
          <w:color w:val="000000"/>
          <w:sz w:val="24"/>
          <w:szCs w:val="24"/>
        </w:rPr>
        <w:t>Of</w:t>
      </w:r>
      <w:proofErr w:type="gramEnd"/>
      <w:r w:rsidRPr="00A13FB1">
        <w:rPr>
          <w:rFonts w:eastAsia="新細明體"/>
          <w:color w:val="000000"/>
          <w:sz w:val="24"/>
          <w:szCs w:val="24"/>
        </w:rPr>
        <w:t xml:space="preserve"> Technology</w:t>
      </w:r>
    </w:p>
    <w:p w:rsidR="00D06FE7" w:rsidRDefault="00D06FE7" w:rsidP="00D06FE7">
      <w:pPr>
        <w:spacing w:line="240" w:lineRule="auto"/>
        <w:ind w:firstLineChars="0" w:firstLine="0"/>
        <w:jc w:val="both"/>
        <w:rPr>
          <w:rFonts w:eastAsia="新細明體"/>
          <w:sz w:val="20"/>
          <w:szCs w:val="20"/>
        </w:rPr>
      </w:pPr>
    </w:p>
    <w:p w:rsidR="00D06FE7" w:rsidRPr="004F6E8D" w:rsidRDefault="00D06FE7" w:rsidP="00D06FE7">
      <w:pPr>
        <w:spacing w:line="240" w:lineRule="auto"/>
        <w:ind w:firstLineChars="0" w:firstLine="0"/>
        <w:jc w:val="both"/>
        <w:rPr>
          <w:rFonts w:eastAsia="新細明體"/>
          <w:color w:val="FF0000"/>
          <w:sz w:val="20"/>
          <w:szCs w:val="20"/>
        </w:rPr>
      </w:pPr>
    </w:p>
    <w:p w:rsidR="00D06FE7" w:rsidRDefault="00D06FE7" w:rsidP="00D06FE7">
      <w:pPr>
        <w:spacing w:line="240" w:lineRule="auto"/>
        <w:ind w:firstLineChars="0" w:firstLine="0"/>
        <w:jc w:val="center"/>
        <w:rPr>
          <w:rFonts w:eastAsia="新細明體"/>
          <w:sz w:val="20"/>
          <w:szCs w:val="20"/>
        </w:rPr>
      </w:pPr>
      <w:r w:rsidRPr="00CF196E">
        <w:rPr>
          <w:rFonts w:eastAsia="新細明體"/>
          <w:sz w:val="20"/>
          <w:szCs w:val="20"/>
        </w:rPr>
        <w:t>Abstract</w:t>
      </w:r>
    </w:p>
    <w:p w:rsidR="00D06FE7" w:rsidRDefault="00D06FE7" w:rsidP="00D06FE7">
      <w:pPr>
        <w:spacing w:line="240" w:lineRule="auto"/>
        <w:ind w:firstLine="560"/>
        <w:jc w:val="both"/>
      </w:pPr>
      <w:r>
        <w:t>This study is mainly used in traditional lead-acid battery will allow gasoline injection engines,replace starter-type lithium iron battery,and tested under different engine operating and load patterns,research projects include engine electrical systems starting performance battery, ignition performance and charge-discharge performance,under the control of the experimental conditions, in order of performance based lead-acid battery,comparison of the lithium-iron batteries patterns for different load on the battery voltage variation pattern and the start of the wave changes the waveform of the ignition stability,thus infer the real car using lithium-iron batteries for load, starting with the ignition waveform wave impact experiments.</w:t>
      </w:r>
      <w:r w:rsidRPr="00F5280B">
        <w:t xml:space="preserve"> The results showed that the use of lithium-iron battery of a vehicle in a brief high-current discharge, long-term and long-term low current battery charge and discharge current recharge efficiency on the use of lead-acid batteries are higher than the vehicle, </w:t>
      </w:r>
      <w:r>
        <w:t>w</w:t>
      </w:r>
      <w:r w:rsidRPr="00F5280B">
        <w:t xml:space="preserve">hen the vehicle back to the charging voltage saturation after there will be minimal and stable continuous charging current, long-term use of lithium-iron battery can really reduce the load on the charging machine; </w:t>
      </w:r>
      <w:r>
        <w:t>t</w:t>
      </w:r>
      <w:r w:rsidRPr="00F5280B">
        <w:t xml:space="preserve">he use of lithium iron batteries have a longer time and stable ignition spark ignition voltage, and therefore the engine combustion efficiency under the same conditions will be better; </w:t>
      </w:r>
      <w:r>
        <w:t>t</w:t>
      </w:r>
      <w:r w:rsidRPr="00F5280B">
        <w:t xml:space="preserve">he starting time and the change in the voltage drop, the use of lithium-iron batteries have better engine start is less voltage drop efficiency change, </w:t>
      </w:r>
      <w:r>
        <w:t>u</w:t>
      </w:r>
      <w:r w:rsidRPr="00F5280B">
        <w:t>nder different test conditions the minimum starting voltage can be higher than the standard value, instant start, high energy, and can extend the life of the starter motor.</w:t>
      </w:r>
    </w:p>
    <w:p w:rsidR="00D06FE7" w:rsidRDefault="00D06FE7" w:rsidP="00D06FE7">
      <w:pPr>
        <w:spacing w:line="240" w:lineRule="auto"/>
        <w:ind w:firstLine="560"/>
        <w:jc w:val="both"/>
      </w:pPr>
    </w:p>
    <w:p w:rsidR="00DA0D4E" w:rsidRPr="001F4C2B" w:rsidRDefault="00D06FE7" w:rsidP="001F4C2B">
      <w:pPr>
        <w:spacing w:line="240" w:lineRule="auto"/>
        <w:ind w:firstLine="560"/>
        <w:jc w:val="both"/>
        <w:rPr>
          <w:rFonts w:eastAsia="新細明體"/>
          <w:sz w:val="20"/>
          <w:szCs w:val="20"/>
        </w:rPr>
      </w:pPr>
      <w:r w:rsidRPr="00F5280B">
        <w:t>Keywords: lead-acid batteries, lithium iron battery, th</w:t>
      </w:r>
      <w:r w:rsidR="00CF6C12">
        <w:t xml:space="preserve">e charging efficiency </w:t>
      </w:r>
      <w:proofErr w:type="spellStart"/>
      <w:r w:rsidR="00CF6C12">
        <w:t>backfille</w:t>
      </w:r>
      <w:proofErr w:type="spellEnd"/>
      <w:r w:rsidR="001F4C2B">
        <w:rPr>
          <w:rFonts w:hint="eastAsia"/>
        </w:rPr>
        <w:t>.</w:t>
      </w:r>
      <w:bookmarkStart w:id="8" w:name="_GoBack"/>
      <w:bookmarkEnd w:id="8"/>
    </w:p>
    <w:sectPr w:rsidR="00DA0D4E" w:rsidRPr="001F4C2B" w:rsidSect="00332058">
      <w:pgSz w:w="11906" w:h="16838" w:code="9"/>
      <w:pgMar w:top="1418" w:right="1418" w:bottom="1418"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2759" w:rsidRDefault="00512759" w:rsidP="00332058">
      <w:pPr>
        <w:spacing w:line="240" w:lineRule="auto"/>
        <w:ind w:firstLine="560"/>
      </w:pPr>
      <w:r>
        <w:separator/>
      </w:r>
    </w:p>
  </w:endnote>
  <w:endnote w:type="continuationSeparator" w:id="0">
    <w:p w:rsidR="00512759" w:rsidRDefault="00512759" w:rsidP="00332058">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4E" w:rsidRDefault="00DA0D4E" w:rsidP="00332058">
    <w:pPr>
      <w:pStyle w:val="a5"/>
      <w:ind w:firstLine="40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4E" w:rsidRDefault="00DA0D4E" w:rsidP="00332058">
    <w:pPr>
      <w:pStyle w:val="a5"/>
      <w:ind w:firstLine="40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4E" w:rsidRDefault="00DA0D4E" w:rsidP="00332058">
    <w:pPr>
      <w:pStyle w:val="a5"/>
      <w:ind w:firstLine="4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2759" w:rsidRDefault="00512759" w:rsidP="00332058">
      <w:pPr>
        <w:spacing w:line="240" w:lineRule="auto"/>
        <w:ind w:firstLine="560"/>
      </w:pPr>
      <w:r>
        <w:separator/>
      </w:r>
    </w:p>
  </w:footnote>
  <w:footnote w:type="continuationSeparator" w:id="0">
    <w:p w:rsidR="00512759" w:rsidRDefault="00512759" w:rsidP="00332058">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4E" w:rsidRDefault="00DA0D4E" w:rsidP="00332058">
    <w:pPr>
      <w:pStyle w:val="a3"/>
      <w:ind w:firstLine="40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4E" w:rsidRDefault="00DA0D4E" w:rsidP="00332058">
    <w:pPr>
      <w:pStyle w:val="a3"/>
      <w:ind w:firstLine="4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0D4E" w:rsidRDefault="00DA0D4E" w:rsidP="00332058">
    <w:pPr>
      <w:pStyle w:val="a3"/>
      <w:ind w:firstLine="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037DB5"/>
    <w:multiLevelType w:val="hybridMultilevel"/>
    <w:tmpl w:val="6C265B00"/>
    <w:lvl w:ilvl="0" w:tplc="14185BF8">
      <w:start w:val="1"/>
      <w:numFmt w:val="decimal"/>
      <w:lvlText w:val="(%1)"/>
      <w:lvlJc w:val="left"/>
      <w:pPr>
        <w:ind w:left="622" w:hanging="480"/>
      </w:pPr>
      <w:rPr>
        <w:rFonts w:cs="Times New Roman" w:hint="default"/>
        <w:color w:val="auto"/>
      </w:rPr>
    </w:lvl>
    <w:lvl w:ilvl="1" w:tplc="04090019" w:tentative="1">
      <w:start w:val="1"/>
      <w:numFmt w:val="ideographTraditional"/>
      <w:lvlText w:val="%2、"/>
      <w:lvlJc w:val="left"/>
      <w:pPr>
        <w:ind w:left="1102" w:hanging="480"/>
      </w:pPr>
      <w:rPr>
        <w:rFonts w:cs="Times New Roman"/>
      </w:rPr>
    </w:lvl>
    <w:lvl w:ilvl="2" w:tplc="0409001B" w:tentative="1">
      <w:start w:val="1"/>
      <w:numFmt w:val="lowerRoman"/>
      <w:lvlText w:val="%3."/>
      <w:lvlJc w:val="right"/>
      <w:pPr>
        <w:ind w:left="1582" w:hanging="480"/>
      </w:pPr>
      <w:rPr>
        <w:rFonts w:cs="Times New Roman"/>
      </w:rPr>
    </w:lvl>
    <w:lvl w:ilvl="3" w:tplc="0409000F" w:tentative="1">
      <w:start w:val="1"/>
      <w:numFmt w:val="decimal"/>
      <w:lvlText w:val="%4."/>
      <w:lvlJc w:val="left"/>
      <w:pPr>
        <w:ind w:left="2062" w:hanging="480"/>
      </w:pPr>
      <w:rPr>
        <w:rFonts w:cs="Times New Roman"/>
      </w:rPr>
    </w:lvl>
    <w:lvl w:ilvl="4" w:tplc="04090019" w:tentative="1">
      <w:start w:val="1"/>
      <w:numFmt w:val="ideographTraditional"/>
      <w:lvlText w:val="%5、"/>
      <w:lvlJc w:val="left"/>
      <w:pPr>
        <w:ind w:left="2542" w:hanging="480"/>
      </w:pPr>
      <w:rPr>
        <w:rFonts w:cs="Times New Roman"/>
      </w:rPr>
    </w:lvl>
    <w:lvl w:ilvl="5" w:tplc="0409001B" w:tentative="1">
      <w:start w:val="1"/>
      <w:numFmt w:val="lowerRoman"/>
      <w:lvlText w:val="%6."/>
      <w:lvlJc w:val="right"/>
      <w:pPr>
        <w:ind w:left="3022" w:hanging="480"/>
      </w:pPr>
      <w:rPr>
        <w:rFonts w:cs="Times New Roman"/>
      </w:rPr>
    </w:lvl>
    <w:lvl w:ilvl="6" w:tplc="0409000F" w:tentative="1">
      <w:start w:val="1"/>
      <w:numFmt w:val="decimal"/>
      <w:lvlText w:val="%7."/>
      <w:lvlJc w:val="left"/>
      <w:pPr>
        <w:ind w:left="3502" w:hanging="480"/>
      </w:pPr>
      <w:rPr>
        <w:rFonts w:cs="Times New Roman"/>
      </w:rPr>
    </w:lvl>
    <w:lvl w:ilvl="7" w:tplc="04090019" w:tentative="1">
      <w:start w:val="1"/>
      <w:numFmt w:val="ideographTraditional"/>
      <w:lvlText w:val="%8、"/>
      <w:lvlJc w:val="left"/>
      <w:pPr>
        <w:ind w:left="3982" w:hanging="480"/>
      </w:pPr>
      <w:rPr>
        <w:rFonts w:cs="Times New Roman"/>
      </w:rPr>
    </w:lvl>
    <w:lvl w:ilvl="8" w:tplc="0409001B" w:tentative="1">
      <w:start w:val="1"/>
      <w:numFmt w:val="lowerRoman"/>
      <w:lvlText w:val="%9."/>
      <w:lvlJc w:val="right"/>
      <w:pPr>
        <w:ind w:left="4462" w:hanging="480"/>
      </w:pPr>
      <w:rPr>
        <w:rFonts w:cs="Times New Roman"/>
      </w:rPr>
    </w:lvl>
  </w:abstractNum>
  <w:abstractNum w:abstractNumId="1">
    <w:nsid w:val="39467DCB"/>
    <w:multiLevelType w:val="hybridMultilevel"/>
    <w:tmpl w:val="A46420C2"/>
    <w:lvl w:ilvl="0" w:tplc="00C019B6">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3E837261"/>
    <w:multiLevelType w:val="hybridMultilevel"/>
    <w:tmpl w:val="A874D622"/>
    <w:lvl w:ilvl="0" w:tplc="D72E9A22">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5339061C"/>
    <w:multiLevelType w:val="hybridMultilevel"/>
    <w:tmpl w:val="0DD63798"/>
    <w:lvl w:ilvl="0" w:tplc="26563816">
      <w:start w:val="1"/>
      <w:numFmt w:val="decimal"/>
      <w:lvlText w:val="%1."/>
      <w:lvlJc w:val="left"/>
      <w:pPr>
        <w:tabs>
          <w:tab w:val="num" w:pos="360"/>
        </w:tabs>
        <w:ind w:left="360" w:hanging="360"/>
      </w:pPr>
      <w:rPr>
        <w:rFonts w:cs="Times New Roman" w:hint="default"/>
        <w:color w:val="00000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6409690F"/>
    <w:multiLevelType w:val="hybridMultilevel"/>
    <w:tmpl w:val="D06A0E2A"/>
    <w:lvl w:ilvl="0" w:tplc="0FC4236C">
      <w:start w:val="1"/>
      <w:numFmt w:val="decimal"/>
      <w:lvlText w:val="(%1)"/>
      <w:lvlJc w:val="left"/>
      <w:pPr>
        <w:ind w:left="480" w:hanging="480"/>
      </w:pPr>
      <w:rPr>
        <w:rFonts w:ascii="Times New Roman" w:hAnsi="Times New Roman" w:cs="Times New Roman" w:hint="default"/>
        <w:b w:val="0"/>
        <w:sz w:val="28"/>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5">
    <w:nsid w:val="783D178F"/>
    <w:multiLevelType w:val="hybridMultilevel"/>
    <w:tmpl w:val="6E5671DE"/>
    <w:lvl w:ilvl="0" w:tplc="7C4CD48E">
      <w:start w:val="4"/>
      <w:numFmt w:val="decimal"/>
      <w:lvlText w:val="(%1)"/>
      <w:lvlJc w:val="left"/>
      <w:pPr>
        <w:ind w:left="360" w:hanging="360"/>
      </w:pPr>
      <w:rPr>
        <w:rFonts w:cs="Times New Roman" w:hint="default"/>
        <w:color w:val="auto"/>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4"/>
  </w:num>
  <w:num w:numId="2">
    <w:abstractNumId w:val="3"/>
  </w:num>
  <w:num w:numId="3">
    <w:abstractNumId w:val="5"/>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oNotTrackMoves/>
  <w:defaultTabStop w:val="48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32058"/>
    <w:rsid w:val="00003C8B"/>
    <w:rsid w:val="00013461"/>
    <w:rsid w:val="00044474"/>
    <w:rsid w:val="00090AC5"/>
    <w:rsid w:val="000930F9"/>
    <w:rsid w:val="000A08AF"/>
    <w:rsid w:val="000B3988"/>
    <w:rsid w:val="000E75C6"/>
    <w:rsid w:val="00100DC0"/>
    <w:rsid w:val="001106C7"/>
    <w:rsid w:val="00180599"/>
    <w:rsid w:val="00190B9A"/>
    <w:rsid w:val="00194743"/>
    <w:rsid w:val="001E0CDD"/>
    <w:rsid w:val="001F4C2B"/>
    <w:rsid w:val="00212530"/>
    <w:rsid w:val="00266C76"/>
    <w:rsid w:val="00295EC1"/>
    <w:rsid w:val="002B69B1"/>
    <w:rsid w:val="002D7ABA"/>
    <w:rsid w:val="002E1CAF"/>
    <w:rsid w:val="003024F4"/>
    <w:rsid w:val="00314476"/>
    <w:rsid w:val="00332058"/>
    <w:rsid w:val="00375D74"/>
    <w:rsid w:val="00376435"/>
    <w:rsid w:val="0038177B"/>
    <w:rsid w:val="00384BB2"/>
    <w:rsid w:val="003D29CC"/>
    <w:rsid w:val="003E3F5A"/>
    <w:rsid w:val="0040594B"/>
    <w:rsid w:val="00431483"/>
    <w:rsid w:val="0046451E"/>
    <w:rsid w:val="0046610E"/>
    <w:rsid w:val="00487423"/>
    <w:rsid w:val="0049576C"/>
    <w:rsid w:val="004A51E3"/>
    <w:rsid w:val="004A77B0"/>
    <w:rsid w:val="004D1A3B"/>
    <w:rsid w:val="004D311E"/>
    <w:rsid w:val="004F6E8D"/>
    <w:rsid w:val="00510004"/>
    <w:rsid w:val="00512759"/>
    <w:rsid w:val="005234B4"/>
    <w:rsid w:val="00527CC4"/>
    <w:rsid w:val="00544149"/>
    <w:rsid w:val="00562B4A"/>
    <w:rsid w:val="0059330A"/>
    <w:rsid w:val="005F2FAD"/>
    <w:rsid w:val="005F7A0B"/>
    <w:rsid w:val="006643A8"/>
    <w:rsid w:val="00690F3F"/>
    <w:rsid w:val="006A0AF9"/>
    <w:rsid w:val="006C5C8A"/>
    <w:rsid w:val="00750015"/>
    <w:rsid w:val="007A3E71"/>
    <w:rsid w:val="007E0B1E"/>
    <w:rsid w:val="00840B53"/>
    <w:rsid w:val="008452EF"/>
    <w:rsid w:val="008A1125"/>
    <w:rsid w:val="008A308E"/>
    <w:rsid w:val="008D3E94"/>
    <w:rsid w:val="008D6B6C"/>
    <w:rsid w:val="008E7E39"/>
    <w:rsid w:val="008F7F73"/>
    <w:rsid w:val="00953153"/>
    <w:rsid w:val="009B079F"/>
    <w:rsid w:val="009D0C46"/>
    <w:rsid w:val="009E5161"/>
    <w:rsid w:val="009F4EE6"/>
    <w:rsid w:val="00A1345F"/>
    <w:rsid w:val="00A13FB1"/>
    <w:rsid w:val="00A33808"/>
    <w:rsid w:val="00A36985"/>
    <w:rsid w:val="00A40205"/>
    <w:rsid w:val="00AB3F87"/>
    <w:rsid w:val="00B305C1"/>
    <w:rsid w:val="00B30C55"/>
    <w:rsid w:val="00B3328B"/>
    <w:rsid w:val="00B57737"/>
    <w:rsid w:val="00B64B9F"/>
    <w:rsid w:val="00BA2A83"/>
    <w:rsid w:val="00BA76F4"/>
    <w:rsid w:val="00BC0253"/>
    <w:rsid w:val="00BE4083"/>
    <w:rsid w:val="00BE4E1B"/>
    <w:rsid w:val="00C15BD3"/>
    <w:rsid w:val="00C42C51"/>
    <w:rsid w:val="00C42D50"/>
    <w:rsid w:val="00C63F8D"/>
    <w:rsid w:val="00CF196E"/>
    <w:rsid w:val="00CF6C12"/>
    <w:rsid w:val="00D06FE7"/>
    <w:rsid w:val="00D07A67"/>
    <w:rsid w:val="00D11C80"/>
    <w:rsid w:val="00D5686F"/>
    <w:rsid w:val="00D8027B"/>
    <w:rsid w:val="00D91986"/>
    <w:rsid w:val="00DA0D4E"/>
    <w:rsid w:val="00DA19D5"/>
    <w:rsid w:val="00DA207F"/>
    <w:rsid w:val="00DA24CB"/>
    <w:rsid w:val="00E1471F"/>
    <w:rsid w:val="00E150D3"/>
    <w:rsid w:val="00E211D1"/>
    <w:rsid w:val="00E3066F"/>
    <w:rsid w:val="00E36354"/>
    <w:rsid w:val="00E702F3"/>
    <w:rsid w:val="00EA71CB"/>
    <w:rsid w:val="00EC025B"/>
    <w:rsid w:val="00ED5727"/>
    <w:rsid w:val="00EE497E"/>
    <w:rsid w:val="00F00E3F"/>
    <w:rsid w:val="00F43321"/>
    <w:rsid w:val="00F5280B"/>
    <w:rsid w:val="00F54152"/>
    <w:rsid w:val="00FC332A"/>
    <w:rsid w:val="00FF26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2058"/>
    <w:pPr>
      <w:widowControl w:val="0"/>
      <w:spacing w:line="560" w:lineRule="exact"/>
      <w:ind w:firstLineChars="200" w:firstLine="200"/>
    </w:pPr>
    <w:rPr>
      <w:rFonts w:ascii="Times New Roman" w:eastAsia="標楷體" w:hAnsi="Times New Roman"/>
      <w:kern w:val="2"/>
      <w:sz w:val="2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332058"/>
    <w:pPr>
      <w:tabs>
        <w:tab w:val="center" w:pos="4153"/>
        <w:tab w:val="right" w:pos="8306"/>
      </w:tabs>
      <w:snapToGrid w:val="0"/>
    </w:pPr>
    <w:rPr>
      <w:sz w:val="20"/>
      <w:szCs w:val="20"/>
    </w:rPr>
  </w:style>
  <w:style w:type="character" w:customStyle="1" w:styleId="a4">
    <w:name w:val="頁首 字元"/>
    <w:link w:val="a3"/>
    <w:uiPriority w:val="99"/>
    <w:locked/>
    <w:rsid w:val="00332058"/>
    <w:rPr>
      <w:rFonts w:cs="Times New Roman"/>
      <w:sz w:val="20"/>
      <w:szCs w:val="20"/>
    </w:rPr>
  </w:style>
  <w:style w:type="paragraph" w:styleId="a5">
    <w:name w:val="footer"/>
    <w:basedOn w:val="a"/>
    <w:link w:val="a6"/>
    <w:uiPriority w:val="99"/>
    <w:rsid w:val="00332058"/>
    <w:pPr>
      <w:tabs>
        <w:tab w:val="center" w:pos="4153"/>
        <w:tab w:val="right" w:pos="8306"/>
      </w:tabs>
      <w:snapToGrid w:val="0"/>
    </w:pPr>
    <w:rPr>
      <w:sz w:val="20"/>
      <w:szCs w:val="20"/>
    </w:rPr>
  </w:style>
  <w:style w:type="character" w:customStyle="1" w:styleId="a6">
    <w:name w:val="頁尾 字元"/>
    <w:link w:val="a5"/>
    <w:uiPriority w:val="99"/>
    <w:locked/>
    <w:rsid w:val="00332058"/>
    <w:rPr>
      <w:rFonts w:cs="Times New Roman"/>
      <w:sz w:val="20"/>
      <w:szCs w:val="20"/>
    </w:rPr>
  </w:style>
  <w:style w:type="paragraph" w:styleId="a7">
    <w:name w:val="Balloon Text"/>
    <w:basedOn w:val="a"/>
    <w:link w:val="a8"/>
    <w:uiPriority w:val="99"/>
    <w:semiHidden/>
    <w:rsid w:val="00332058"/>
    <w:pPr>
      <w:spacing w:line="240" w:lineRule="auto"/>
    </w:pPr>
    <w:rPr>
      <w:rFonts w:ascii="Cambria" w:eastAsia="新細明體" w:hAnsi="Cambria"/>
      <w:sz w:val="18"/>
      <w:szCs w:val="18"/>
    </w:rPr>
  </w:style>
  <w:style w:type="character" w:customStyle="1" w:styleId="a8">
    <w:name w:val="註解方塊文字 字元"/>
    <w:link w:val="a7"/>
    <w:uiPriority w:val="99"/>
    <w:semiHidden/>
    <w:locked/>
    <w:rsid w:val="00332058"/>
    <w:rPr>
      <w:rFonts w:ascii="Cambria" w:eastAsia="新細明體" w:hAnsi="Cambria" w:cs="Times New Roman"/>
      <w:sz w:val="18"/>
      <w:szCs w:val="18"/>
    </w:rPr>
  </w:style>
  <w:style w:type="character" w:styleId="a9">
    <w:name w:val="Hyperlink"/>
    <w:uiPriority w:val="99"/>
    <w:rsid w:val="00332058"/>
    <w:rPr>
      <w:rFonts w:cs="Times New Roman"/>
      <w:color w:val="0000FF"/>
      <w:u w:val="single"/>
    </w:rPr>
  </w:style>
  <w:style w:type="paragraph" w:styleId="aa">
    <w:name w:val="List Paragraph"/>
    <w:basedOn w:val="a"/>
    <w:link w:val="ab"/>
    <w:uiPriority w:val="99"/>
    <w:qFormat/>
    <w:rsid w:val="00332058"/>
    <w:pPr>
      <w:ind w:leftChars="200" w:left="480"/>
    </w:pPr>
    <w:rPr>
      <w:kern w:val="0"/>
      <w:szCs w:val="20"/>
    </w:rPr>
  </w:style>
  <w:style w:type="character" w:customStyle="1" w:styleId="ab">
    <w:name w:val="清單段落 字元"/>
    <w:link w:val="aa"/>
    <w:uiPriority w:val="99"/>
    <w:locked/>
    <w:rsid w:val="00332058"/>
    <w:rPr>
      <w:rFonts w:ascii="Times New Roman" w:eastAsia="標楷體" w:hAnsi="Times New Roman"/>
      <w:sz w:val="28"/>
    </w:rPr>
  </w:style>
  <w:style w:type="paragraph" w:customStyle="1" w:styleId="ac">
    <w:name w:val="圖目錄"/>
    <w:basedOn w:val="aa"/>
    <w:link w:val="ad"/>
    <w:uiPriority w:val="99"/>
    <w:rsid w:val="00332058"/>
    <w:pPr>
      <w:ind w:leftChars="0" w:left="0" w:firstLineChars="0" w:firstLine="0"/>
      <w:jc w:val="center"/>
    </w:pPr>
    <w:rPr>
      <w:color w:val="000000"/>
      <w:szCs w:val="24"/>
    </w:rPr>
  </w:style>
  <w:style w:type="character" w:customStyle="1" w:styleId="ad">
    <w:name w:val="圖目錄 字元"/>
    <w:link w:val="ac"/>
    <w:uiPriority w:val="99"/>
    <w:locked/>
    <w:rsid w:val="00332058"/>
    <w:rPr>
      <w:rFonts w:ascii="Times New Roman" w:eastAsia="標楷體" w:hAnsi="Times New Roman"/>
      <w:color w:val="000000"/>
      <w:sz w:val="24"/>
    </w:rPr>
  </w:style>
  <w:style w:type="paragraph" w:customStyle="1" w:styleId="ae">
    <w:name w:val="表目錄"/>
    <w:basedOn w:val="ac"/>
    <w:link w:val="af"/>
    <w:uiPriority w:val="99"/>
    <w:rsid w:val="00D8027B"/>
    <w:rPr>
      <w:sz w:val="20"/>
    </w:rPr>
  </w:style>
  <w:style w:type="character" w:customStyle="1" w:styleId="af">
    <w:name w:val="表目錄 字元"/>
    <w:link w:val="ae"/>
    <w:uiPriority w:val="99"/>
    <w:locked/>
    <w:rsid w:val="00D8027B"/>
    <w:rPr>
      <w:rFonts w:ascii="Times New Roman" w:eastAsia="標楷體" w:hAnsi="Times New Roman"/>
      <w:color w:val="000000"/>
      <w:sz w:val="24"/>
    </w:rPr>
  </w:style>
  <w:style w:type="character" w:customStyle="1" w:styleId="apple-converted-space">
    <w:name w:val="apple-converted-space"/>
    <w:rsid w:val="00DA20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image" Target="media/image11.png"/><Relationship Id="rId39" Type="http://schemas.openxmlformats.org/officeDocument/2006/relationships/hyperlink" Target="mailto:laijouyu@gmail.com"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http://www.csb-battery.com/index_ch.php" TargetMode="External"/><Relationship Id="rId19" Type="http://schemas.openxmlformats.org/officeDocument/2006/relationships/header" Target="header2.xml"/><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6779C-27D8-42C5-B612-DEECCC1F03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2072</Words>
  <Characters>11816</Characters>
  <Application>Microsoft Office Word</Application>
  <DocSecurity>0</DocSecurity>
  <Lines>98</Lines>
  <Paragraphs>27</Paragraphs>
  <ScaleCrop>false</ScaleCrop>
  <Company/>
  <LinksUpToDate>false</LinksUpToDate>
  <CharactersWithSpaces>13861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鋰鐵電瓶對汽油引擎電系性能影響之研究</dc:title>
  <dc:creator>User</dc:creator>
  <cp:lastModifiedBy>user</cp:lastModifiedBy>
  <cp:revision>4</cp:revision>
  <dcterms:created xsi:type="dcterms:W3CDTF">2014-08-29T16:00:00Z</dcterms:created>
  <dcterms:modified xsi:type="dcterms:W3CDTF">2014-08-29T16:10:00Z</dcterms:modified>
</cp:coreProperties>
</file>